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06F3E" w14:textId="77777777" w:rsidR="00AC4FCE"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14:paraId="00B17D40" w14:textId="77777777" w:rsidR="00F0776E" w:rsidRPr="00D621BD" w:rsidRDefault="00F0776E" w:rsidP="00AE1661">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5E406DFE" w:rsidR="00B04866" w:rsidRPr="00B04866" w:rsidRDefault="00D621BD"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68C891A5" w:rsidR="00B04866" w:rsidRPr="00B04866" w:rsidRDefault="00D621BD"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7188681D" w:rsidR="001C6973" w:rsidRPr="00E22453" w:rsidRDefault="00D621BD"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w:t>
            </w:r>
            <w:r w:rsidR="00E22453">
              <w:rPr>
                <w:rFonts w:ascii="Times New Roman" w:hAnsi="Times New Roman"/>
                <w:szCs w:val="24"/>
                <w:lang w:val="en-US" w:eastAsia="bg-BG"/>
              </w:rPr>
              <w:t>5/20</w:t>
            </w:r>
            <w:r>
              <w:rPr>
                <w:rFonts w:ascii="Times New Roman" w:hAnsi="Times New Roman"/>
                <w:szCs w:val="24"/>
                <w:lang w:eastAsia="bg-BG"/>
              </w:rPr>
              <w:t>20</w:t>
            </w:r>
            <w:r w:rsidR="00E22453">
              <w:rPr>
                <w:rFonts w:ascii="Times New Roman" w:hAnsi="Times New Roman"/>
                <w:szCs w:val="24"/>
                <w:lang w:val="en-US" w:eastAsia="bg-BG"/>
              </w:rPr>
              <w:t xml:space="preserve">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0AFA59DC" w:rsidR="001C6973" w:rsidRPr="001C6973" w:rsidRDefault="009F1EE0"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9F1EE0">
              <w:rPr>
                <w:rFonts w:ascii="Times New Roman" w:hAnsi="Times New Roman"/>
                <w:szCs w:val="24"/>
                <w:lang w:eastAsia="bg-BG"/>
              </w:rPr>
              <w:t>20200102-00010-0003</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08CE19D5" w:rsidR="001C6973" w:rsidRPr="001C6973" w:rsidRDefault="00E22453" w:rsidP="009F1EE0">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УМБАЛ „С</w:t>
            </w:r>
            <w:r w:rsidR="009F1EE0">
              <w:rPr>
                <w:rFonts w:ascii="Times New Roman" w:hAnsi="Times New Roman"/>
                <w:b/>
                <w:szCs w:val="24"/>
                <w:lang w:eastAsia="bg-BG"/>
              </w:rPr>
              <w:t>вета</w:t>
            </w:r>
            <w:r>
              <w:rPr>
                <w:rFonts w:ascii="Times New Roman" w:hAnsi="Times New Roman"/>
                <w:b/>
                <w:szCs w:val="24"/>
                <w:lang w:eastAsia="bg-BG"/>
              </w:rPr>
              <w:t xml:space="preserve"> Е</w:t>
            </w:r>
            <w:r w:rsidR="009F1EE0">
              <w:rPr>
                <w:rFonts w:ascii="Times New Roman" w:hAnsi="Times New Roman"/>
                <w:b/>
                <w:szCs w:val="24"/>
                <w:lang w:eastAsia="bg-BG"/>
              </w:rPr>
              <w:t xml:space="preserve">катерина“ </w:t>
            </w:r>
            <w:r>
              <w:rPr>
                <w:rFonts w:ascii="Times New Roman" w:hAnsi="Times New Roman"/>
                <w:b/>
                <w:szCs w:val="24"/>
                <w:lang w:eastAsia="bg-BG"/>
              </w:rPr>
              <w:t>ЕАД</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041366A8" w:rsidR="001C6973" w:rsidRPr="001C6973" w:rsidRDefault="00E22453"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30951491" w:rsidR="001C6973" w:rsidRPr="001C6973" w:rsidRDefault="00DF7BB5"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3E937C0E" w:rsidR="001C6973" w:rsidRPr="001C6973" w:rsidRDefault="00DF7BB5"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03A2EE4B" w14:textId="65C1C0BE" w:rsidR="00DF7BB5" w:rsidRDefault="00DF7BB5" w:rsidP="005E058B">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 xml:space="preserve">„ Доставка, чрез покупка, на </w:t>
            </w:r>
            <w:r w:rsidR="005E058B">
              <w:rPr>
                <w:rFonts w:ascii="Times New Roman" w:hAnsi="Times New Roman"/>
                <w:szCs w:val="24"/>
                <w:lang w:eastAsia="bg-BG"/>
              </w:rPr>
              <w:t xml:space="preserve">4 </w:t>
            </w:r>
            <w:r w:rsidR="005E058B">
              <w:rPr>
                <w:rFonts w:ascii="Times New Roman" w:hAnsi="Times New Roman"/>
                <w:szCs w:val="24"/>
                <w:lang w:val="en-US" w:eastAsia="bg-BG"/>
              </w:rPr>
              <w:t>(</w:t>
            </w:r>
            <w:r>
              <w:rPr>
                <w:rFonts w:ascii="Times New Roman" w:hAnsi="Times New Roman"/>
                <w:szCs w:val="24"/>
                <w:lang w:eastAsia="bg-BG"/>
              </w:rPr>
              <w:t>четири</w:t>
            </w:r>
            <w:r w:rsidR="005E058B">
              <w:rPr>
                <w:rFonts w:ascii="Times New Roman" w:hAnsi="Times New Roman"/>
                <w:szCs w:val="24"/>
                <w:lang w:val="en-US" w:eastAsia="bg-BG"/>
              </w:rPr>
              <w:t>)</w:t>
            </w:r>
            <w:r>
              <w:rPr>
                <w:rFonts w:ascii="Times New Roman" w:hAnsi="Times New Roman"/>
                <w:szCs w:val="24"/>
                <w:lang w:eastAsia="bg-BG"/>
              </w:rPr>
              <w:t xml:space="preserve"> бро</w:t>
            </w:r>
            <w:r w:rsidR="005E058B">
              <w:rPr>
                <w:rFonts w:ascii="Times New Roman" w:hAnsi="Times New Roman"/>
                <w:szCs w:val="24"/>
                <w:lang w:eastAsia="bg-BG"/>
              </w:rPr>
              <w:t>я санитарни</w:t>
            </w:r>
            <w:r w:rsidR="00CD4B34">
              <w:rPr>
                <w:rFonts w:ascii="Times New Roman" w:hAnsi="Times New Roman"/>
                <w:szCs w:val="24"/>
                <w:lang w:eastAsia="bg-BG"/>
              </w:rPr>
              <w:t xml:space="preserve"> автомобили /линейк</w:t>
            </w:r>
            <w:r w:rsidR="00FC46AF">
              <w:rPr>
                <w:rFonts w:ascii="Times New Roman" w:hAnsi="Times New Roman"/>
                <w:szCs w:val="24"/>
                <w:lang w:eastAsia="bg-BG"/>
              </w:rPr>
              <w:t>а</w:t>
            </w:r>
            <w:r w:rsidR="00CD4B34">
              <w:rPr>
                <w:rFonts w:ascii="Times New Roman" w:hAnsi="Times New Roman"/>
                <w:szCs w:val="24"/>
                <w:lang w:eastAsia="bg-BG"/>
              </w:rPr>
              <w:t>/</w:t>
            </w:r>
            <w:r>
              <w:rPr>
                <w:rFonts w:ascii="Times New Roman" w:hAnsi="Times New Roman"/>
                <w:szCs w:val="24"/>
                <w:lang w:eastAsia="bg-BG"/>
              </w:rPr>
              <w:t xml:space="preserve"> по обособени позиции, както следва:</w:t>
            </w:r>
          </w:p>
          <w:p w14:paraId="785E3C87" w14:textId="77777777" w:rsidR="00DF7BB5" w:rsidRDefault="00DF7BB5" w:rsidP="005E058B">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 xml:space="preserve">Обособена позиция № 1: Линейка за спешна медицинска помощ </w:t>
            </w:r>
            <w:r>
              <w:rPr>
                <w:rFonts w:ascii="Times New Roman" w:hAnsi="Times New Roman"/>
                <w:szCs w:val="24"/>
                <w:lang w:val="en-US" w:eastAsia="bg-BG"/>
              </w:rPr>
              <w:t>(</w:t>
            </w:r>
            <w:proofErr w:type="spellStart"/>
            <w:r>
              <w:rPr>
                <w:rFonts w:ascii="Times New Roman" w:hAnsi="Times New Roman"/>
                <w:szCs w:val="24"/>
                <w:lang w:val="en-US" w:eastAsia="bg-BG"/>
              </w:rPr>
              <w:t>тип</w:t>
            </w:r>
            <w:proofErr w:type="spellEnd"/>
            <w:r>
              <w:rPr>
                <w:rFonts w:ascii="Times New Roman" w:hAnsi="Times New Roman"/>
                <w:szCs w:val="24"/>
                <w:lang w:val="en-US" w:eastAsia="bg-BG"/>
              </w:rPr>
              <w:t xml:space="preserve"> В)</w:t>
            </w:r>
            <w:r>
              <w:rPr>
                <w:rFonts w:ascii="Times New Roman" w:hAnsi="Times New Roman"/>
                <w:szCs w:val="24"/>
                <w:lang w:eastAsia="bg-BG"/>
              </w:rPr>
              <w:t xml:space="preserve"> - 4х4 – 1 брой</w:t>
            </w:r>
          </w:p>
          <w:p w14:paraId="74C41F5A" w14:textId="3C1A438C" w:rsidR="001C6973" w:rsidRPr="001C6973" w:rsidRDefault="00DF7BB5" w:rsidP="005E058B">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 xml:space="preserve">Обособена позиция № 2: Линейка за спешна медицинска помощ </w:t>
            </w:r>
            <w:r>
              <w:rPr>
                <w:rFonts w:ascii="Times New Roman" w:hAnsi="Times New Roman"/>
                <w:szCs w:val="24"/>
                <w:lang w:val="en-US" w:eastAsia="bg-BG"/>
              </w:rPr>
              <w:t>(</w:t>
            </w:r>
            <w:proofErr w:type="spellStart"/>
            <w:r>
              <w:rPr>
                <w:rFonts w:ascii="Times New Roman" w:hAnsi="Times New Roman"/>
                <w:szCs w:val="24"/>
                <w:lang w:val="en-US" w:eastAsia="bg-BG"/>
              </w:rPr>
              <w:t>тип</w:t>
            </w:r>
            <w:proofErr w:type="spellEnd"/>
            <w:r>
              <w:rPr>
                <w:rFonts w:ascii="Times New Roman" w:hAnsi="Times New Roman"/>
                <w:szCs w:val="24"/>
                <w:lang w:val="en-US" w:eastAsia="bg-BG"/>
              </w:rPr>
              <w:t xml:space="preserve"> В</w:t>
            </w:r>
            <w:r w:rsidR="00FC46AF" w:rsidRPr="00FC46AF">
              <w:rPr>
                <w:rFonts w:ascii="Times New Roman" w:hAnsi="Times New Roman"/>
                <w:szCs w:val="24"/>
                <w:lang w:val="en-US" w:eastAsia="bg-BG"/>
              </w:rPr>
              <w:t>)</w:t>
            </w:r>
            <w:r w:rsidR="005E058B">
              <w:rPr>
                <w:rFonts w:ascii="Times New Roman" w:hAnsi="Times New Roman"/>
                <w:szCs w:val="24"/>
                <w:lang w:val="en-US" w:eastAsia="bg-BG"/>
              </w:rPr>
              <w:t xml:space="preserve"> </w:t>
            </w:r>
            <w:r>
              <w:rPr>
                <w:rFonts w:ascii="Times New Roman" w:hAnsi="Times New Roman"/>
                <w:szCs w:val="24"/>
                <w:lang w:eastAsia="bg-BG"/>
              </w:rPr>
              <w:t>–</w:t>
            </w:r>
            <w:r w:rsidR="005E058B">
              <w:rPr>
                <w:rFonts w:ascii="Times New Roman" w:hAnsi="Times New Roman"/>
                <w:szCs w:val="24"/>
                <w:lang w:eastAsia="bg-BG"/>
              </w:rPr>
              <w:t xml:space="preserve"> 3</w:t>
            </w:r>
            <w:r>
              <w:rPr>
                <w:rFonts w:ascii="Times New Roman" w:hAnsi="Times New Roman"/>
                <w:szCs w:val="24"/>
                <w:lang w:eastAsia="bg-BG"/>
              </w:rPr>
              <w:t xml:space="preserve"> бро</w:t>
            </w:r>
            <w:r w:rsidR="005E058B">
              <w:rPr>
                <w:rFonts w:ascii="Times New Roman" w:hAnsi="Times New Roman"/>
                <w:szCs w:val="24"/>
                <w:lang w:eastAsia="bg-BG"/>
              </w:rPr>
              <w:t>я</w:t>
            </w:r>
            <w:r>
              <w:rPr>
                <w:rFonts w:ascii="Times New Roman" w:hAnsi="Times New Roman"/>
                <w:szCs w:val="24"/>
                <w:lang w:eastAsia="bg-BG"/>
              </w:rPr>
              <w:t>“</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8B38246" w:rsidR="001C6973" w:rsidRPr="005E058B" w:rsidRDefault="005E058B" w:rsidP="001C6973">
            <w:pPr>
              <w:tabs>
                <w:tab w:val="left" w:pos="583"/>
                <w:tab w:val="right" w:pos="9360"/>
              </w:tabs>
              <w:spacing w:before="60" w:after="60" w:line="240" w:lineRule="auto"/>
              <w:ind w:left="45"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r w:rsidR="001C6973" w:rsidRPr="001C6973">
              <w:rPr>
                <w:rFonts w:ascii="Times New Roman" w:hAnsi="Times New Roman"/>
                <w:szCs w:val="24"/>
                <w:lang w:val="en-US" w:eastAsia="bg-BG"/>
              </w:rPr>
              <w:t xml:space="preserve">              </w:t>
            </w:r>
            <w:r w:rsidR="001C6973" w:rsidRPr="001C6973">
              <w:rPr>
                <w:rFonts w:ascii="Times New Roman" w:hAnsi="Times New Roman"/>
                <w:szCs w:val="24"/>
                <w:lang w:eastAsia="bg-BG"/>
              </w:rPr>
              <w:t xml:space="preserve">             Брой: </w:t>
            </w:r>
            <w:r>
              <w:rPr>
                <w:rFonts w:ascii="Times New Roman" w:hAnsi="Times New Roman"/>
                <w:szCs w:val="24"/>
                <w:lang w:val="en-US" w:eastAsia="bg-BG"/>
              </w:rPr>
              <w:t>2</w:t>
            </w:r>
          </w:p>
          <w:p w14:paraId="1495220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6F02D140" w:rsidR="001C6973" w:rsidRPr="005E058B" w:rsidRDefault="005E058B" w:rsidP="005E058B">
            <w:pPr>
              <w:tabs>
                <w:tab w:val="left" w:pos="58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val="en-US" w:eastAsia="bg-BG"/>
              </w:rPr>
              <w:t xml:space="preserve">14. </w:t>
            </w:r>
            <w:r w:rsidRPr="00384EAC">
              <w:rPr>
                <w:rFonts w:ascii="Times New Roman" w:hAnsi="Times New Roman"/>
                <w:szCs w:val="24"/>
                <w:lang w:eastAsia="bg-BG"/>
              </w:rPr>
              <w:t>Инженерство, профил Транспорт</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1A27DD86" w:rsidR="001C6973" w:rsidRPr="001C6973" w:rsidRDefault="005E058B"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24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0A05EF0C" w:rsidR="005E058B" w:rsidRPr="001C6973" w:rsidRDefault="005E058B" w:rsidP="005E058B">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300 000.00</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0EE088CF" w:rsidR="001C6973" w:rsidRPr="001C6973" w:rsidRDefault="005E058B"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5F04BC5D" w:rsidR="001C6973" w:rsidRPr="001C6973" w:rsidRDefault="005E058B"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4977804A" w:rsidR="00E328E5" w:rsidRPr="001C6973" w:rsidRDefault="00E328E5" w:rsidP="007D1BDB">
            <w:pPr>
              <w:spacing w:before="60" w:after="60" w:line="240" w:lineRule="auto"/>
              <w:ind w:firstLine="567"/>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Default="00B04866" w:rsidP="00B04866">
      <w:pPr>
        <w:spacing w:after="0" w:line="240" w:lineRule="auto"/>
        <w:ind w:firstLine="0"/>
        <w:jc w:val="left"/>
        <w:rPr>
          <w:rFonts w:ascii="Times New Roman" w:hAnsi="Times New Roman"/>
          <w:szCs w:val="24"/>
          <w:lang w:eastAsia="bg-BG"/>
        </w:rPr>
      </w:pPr>
    </w:p>
    <w:p w14:paraId="2546F78D" w14:textId="77777777" w:rsidR="00F728B2" w:rsidRPr="00B04866" w:rsidRDefault="00F728B2"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07A0EF40" w14:textId="09971428" w:rsidR="00B04866" w:rsidRPr="00DF7BB5" w:rsidRDefault="00565606" w:rsidP="00DF7BB5">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r w:rsidR="00DF7BB5">
              <w:rPr>
                <w:rFonts w:ascii="Times New Roman" w:hAnsi="Times New Roman"/>
                <w:szCs w:val="24"/>
                <w:lang w:eastAsia="bg-BG"/>
              </w:rPr>
              <w:t>.</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739760A4" w:rsidR="00B04866" w:rsidRPr="00B04866" w:rsidRDefault="005E058B"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F0776E">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61992086" w:rsidR="00B04866" w:rsidRPr="00B04866" w:rsidRDefault="005E058B"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F0776E">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550C13FC" w:rsidR="00C46834" w:rsidRPr="00B04866" w:rsidRDefault="00C46834" w:rsidP="005E058B">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w:t>
            </w:r>
            <w:r w:rsidR="0096791D">
              <w:rPr>
                <w:rFonts w:ascii="Times New Roman" w:hAnsi="Times New Roman"/>
                <w:szCs w:val="24"/>
                <w:lang w:eastAsia="bg-BG"/>
              </w:rPr>
              <w:t>а</w:t>
            </w:r>
            <w:r w:rsidR="005E058B">
              <w:rPr>
                <w:rFonts w:ascii="Times New Roman" w:hAnsi="Times New Roman"/>
                <w:szCs w:val="24"/>
                <w:lang w:eastAsia="bg-BG"/>
              </w:rPr>
              <w:t xml:space="preserve"> на техническата спецификация </w:t>
            </w:r>
            <w:r w:rsidRPr="00B04866">
              <w:rPr>
                <w:rFonts w:ascii="Times New Roman" w:hAnsi="Times New Roman"/>
                <w:szCs w:val="24"/>
                <w:lang w:eastAsia="bg-BG"/>
              </w:rPr>
              <w:t>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2B00B642" w:rsidR="00C46834" w:rsidRPr="00B04866" w:rsidRDefault="00C46834" w:rsidP="005E058B">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5E058B">
              <w:rPr>
                <w:rFonts w:ascii="Times New Roman" w:hAnsi="Times New Roman"/>
                <w:szCs w:val="24"/>
                <w:lang w:eastAsia="bg-BG"/>
              </w:rPr>
              <w:fldChar w:fldCharType="begin">
                <w:ffData>
                  <w:name w:val=""/>
                  <w:enabled/>
                  <w:calcOnExit w:val="0"/>
                  <w:checkBox>
                    <w:sizeAuto/>
                    <w:default w:val="1"/>
                  </w:checkBox>
                </w:ffData>
              </w:fldChar>
            </w:r>
            <w:r w:rsidR="005E058B">
              <w:rPr>
                <w:rFonts w:ascii="Times New Roman" w:hAnsi="Times New Roman"/>
                <w:szCs w:val="24"/>
                <w:lang w:eastAsia="bg-BG"/>
              </w:rPr>
              <w:instrText xml:space="preserve"> FORMCHECKBOX </w:instrText>
            </w:r>
            <w:r w:rsidR="002E6FE0">
              <w:rPr>
                <w:rFonts w:ascii="Times New Roman" w:hAnsi="Times New Roman"/>
                <w:szCs w:val="24"/>
                <w:lang w:eastAsia="bg-BG"/>
              </w:rPr>
            </w:r>
            <w:r w:rsidR="002E6FE0">
              <w:rPr>
                <w:rFonts w:ascii="Times New Roman" w:hAnsi="Times New Roman"/>
                <w:szCs w:val="24"/>
                <w:lang w:eastAsia="bg-BG"/>
              </w:rPr>
              <w:fldChar w:fldCharType="separate"/>
            </w:r>
            <w:r w:rsidR="005E058B">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04AB4E6D" w14:textId="77777777" w:rsidR="005E058B" w:rsidRDefault="005E058B" w:rsidP="005E058B">
            <w:pPr>
              <w:spacing w:before="60" w:after="60" w:line="240" w:lineRule="auto"/>
              <w:ind w:firstLine="567"/>
              <w:rPr>
                <w:rFonts w:ascii="Times New Roman" w:eastAsiaTheme="minorHAnsi" w:hAnsi="Times New Roman" w:cstheme="minorBidi"/>
                <w:bCs/>
                <w:sz w:val="26"/>
                <w:szCs w:val="26"/>
                <w:lang w:eastAsia="bg-BG"/>
              </w:rPr>
            </w:pPr>
            <w:r>
              <w:rPr>
                <w:rFonts w:ascii="Times New Roman" w:eastAsiaTheme="minorHAnsi" w:hAnsi="Times New Roman" w:cstheme="minorBidi"/>
                <w:bCs/>
                <w:sz w:val="26"/>
                <w:szCs w:val="26"/>
                <w:lang w:eastAsia="bg-BG"/>
              </w:rPr>
              <w:t>1. Във връзка с изпратената „Регистрационна форма за случаен избор на процедура, подлежаща на предварителен контрол“, обръщаме внимание, че проектите на документи за осъществяване на първия етап на контрола се изпращат с придружително писмо по образец (вж. чл. 117, ал. 1 ППЗОП и т. 4 от Правила на Агенцията по обществени поръчки за електронен обмен на информация при осъществяване на външен предварителен контрол).</w:t>
            </w:r>
          </w:p>
          <w:p w14:paraId="35FFB698" w14:textId="341EC004" w:rsidR="00C46834" w:rsidRPr="008E6994" w:rsidRDefault="005E058B" w:rsidP="004C1433">
            <w:pPr>
              <w:spacing w:after="60" w:line="240" w:lineRule="auto"/>
              <w:ind w:firstLine="0"/>
              <w:rPr>
                <w:rFonts w:ascii="Times New Roman" w:hAnsi="Times New Roman"/>
                <w:sz w:val="26"/>
                <w:szCs w:val="26"/>
                <w:lang w:eastAsia="bg-BG"/>
              </w:rPr>
            </w:pPr>
            <w:r>
              <w:rPr>
                <w:rFonts w:ascii="Times New Roman" w:eastAsiaTheme="minorHAnsi" w:hAnsi="Times New Roman" w:cstheme="minorBidi"/>
                <w:bCs/>
                <w:sz w:val="26"/>
                <w:szCs w:val="26"/>
                <w:lang w:eastAsia="bg-BG"/>
              </w:rPr>
              <w:t xml:space="preserve">          2.</w:t>
            </w:r>
            <w:r w:rsidR="004C1433">
              <w:rPr>
                <w:rFonts w:ascii="Times New Roman" w:eastAsiaTheme="minorHAnsi" w:hAnsi="Times New Roman" w:cstheme="minorBidi"/>
                <w:bCs/>
                <w:sz w:val="26"/>
                <w:szCs w:val="26"/>
                <w:lang w:eastAsia="bg-BG"/>
              </w:rPr>
              <w:t xml:space="preserve"> </w:t>
            </w:r>
            <w:r w:rsidRPr="00E328E5">
              <w:rPr>
                <w:rFonts w:ascii="Times New Roman" w:hAnsi="Times New Roman"/>
                <w:sz w:val="26"/>
                <w:szCs w:val="26"/>
                <w:lang w:eastAsia="bg-BG"/>
              </w:rPr>
              <w:t>В проекта на решение за откриване на процедурата, възложителят е отбелязал, че професионалната област, в която попада предметът на поръчката е „</w:t>
            </w:r>
            <w:r>
              <w:rPr>
                <w:rFonts w:ascii="Times New Roman" w:hAnsi="Times New Roman"/>
                <w:sz w:val="26"/>
                <w:szCs w:val="26"/>
                <w:lang w:eastAsia="bg-BG"/>
              </w:rPr>
              <w:t>14</w:t>
            </w:r>
            <w:r w:rsidRPr="00E328E5">
              <w:rPr>
                <w:rFonts w:ascii="Times New Roman" w:hAnsi="Times New Roman"/>
                <w:sz w:val="26"/>
                <w:szCs w:val="26"/>
                <w:lang w:eastAsia="bg-BG"/>
              </w:rPr>
              <w:t xml:space="preserve">. </w:t>
            </w:r>
            <w:r>
              <w:rPr>
                <w:rFonts w:ascii="Times New Roman" w:hAnsi="Times New Roman"/>
                <w:sz w:val="26"/>
                <w:szCs w:val="26"/>
                <w:lang w:eastAsia="bg-BG"/>
              </w:rPr>
              <w:t>Инженерство, профил Транспорт</w:t>
            </w:r>
            <w:r w:rsidRPr="00E328E5">
              <w:rPr>
                <w:rFonts w:ascii="Times New Roman" w:hAnsi="Times New Roman"/>
                <w:sz w:val="26"/>
                <w:szCs w:val="26"/>
                <w:lang w:eastAsia="bg-BG"/>
              </w:rPr>
              <w:t xml:space="preserve">“. В случая са </w:t>
            </w:r>
            <w:r w:rsidR="004C1433">
              <w:rPr>
                <w:rFonts w:ascii="Times New Roman" w:hAnsi="Times New Roman"/>
                <w:sz w:val="26"/>
                <w:szCs w:val="26"/>
                <w:lang w:eastAsia="bg-BG"/>
              </w:rPr>
              <w:t>изпълнени изискванията на</w:t>
            </w:r>
            <w:r w:rsidR="00F0776E">
              <w:rPr>
                <w:rFonts w:ascii="Times New Roman" w:hAnsi="Times New Roman"/>
                <w:sz w:val="26"/>
                <w:szCs w:val="26"/>
                <w:lang w:val="en-US" w:eastAsia="bg-BG"/>
              </w:rPr>
              <w:t xml:space="preserve"> </w:t>
            </w:r>
            <w:r w:rsidRPr="00E328E5">
              <w:rPr>
                <w:rFonts w:ascii="Times New Roman" w:hAnsi="Times New Roman"/>
                <w:sz w:val="26"/>
                <w:szCs w:val="26"/>
                <w:lang w:eastAsia="bg-BG"/>
              </w:rPr>
              <w:t xml:space="preserve">чл. 13, ал. 1, т. 1 от Наредбата за външните експерти при предварителен контрол на обществени поръчки (НВЕПКОП), но доколкото в списъка по чл. 232а, ал. 2 ЗОП, в посочената професионална област няма включени външни експерти, на основание чл. 18, т. 4 от НВЕПКОП, проверката на </w:t>
            </w:r>
            <w:r w:rsidR="004C1433">
              <w:rPr>
                <w:rFonts w:ascii="Times New Roman" w:hAnsi="Times New Roman"/>
                <w:sz w:val="26"/>
                <w:szCs w:val="26"/>
                <w:lang w:eastAsia="bg-BG"/>
              </w:rPr>
              <w:t xml:space="preserve">проекта на </w:t>
            </w:r>
            <w:r w:rsidRPr="00E328E5">
              <w:rPr>
                <w:rFonts w:ascii="Times New Roman" w:hAnsi="Times New Roman"/>
                <w:sz w:val="26"/>
                <w:szCs w:val="26"/>
                <w:lang w:eastAsia="bg-BG"/>
              </w:rPr>
              <w:t xml:space="preserve">техническа </w:t>
            </w:r>
            <w:r w:rsidRPr="00E328E5">
              <w:rPr>
                <w:rFonts w:ascii="Times New Roman" w:hAnsi="Times New Roman"/>
                <w:sz w:val="26"/>
                <w:szCs w:val="26"/>
                <w:lang w:eastAsia="bg-BG"/>
              </w:rPr>
              <w:lastRenderedPageBreak/>
              <w:t>спецификация е извършена от експерти на АОП и обхваща съответствието на документа с изискванията на ЗОП.</w:t>
            </w:r>
            <w:r>
              <w:rPr>
                <w:rFonts w:ascii="Times New Roman" w:hAnsi="Times New Roman"/>
                <w:sz w:val="26"/>
                <w:szCs w:val="26"/>
                <w:lang w:eastAsia="bg-BG"/>
              </w:rPr>
              <w:t xml:space="preserve">     </w:t>
            </w:r>
          </w:p>
        </w:tc>
      </w:tr>
    </w:tbl>
    <w:p w14:paraId="5C8FB48B" w14:textId="77777777" w:rsidR="00C46834" w:rsidRPr="00D16DE4" w:rsidRDefault="00C46834" w:rsidP="00C46834">
      <w:pPr>
        <w:tabs>
          <w:tab w:val="left" w:pos="1440"/>
        </w:tabs>
        <w:spacing w:after="0" w:line="240" w:lineRule="auto"/>
        <w:ind w:firstLine="0"/>
        <w:rPr>
          <w:rFonts w:ascii="Times New Roman" w:hAnsi="Times New Roman"/>
          <w:b/>
          <w:bCs/>
          <w:szCs w:val="24"/>
          <w:lang w:eastAsia="bg-BG"/>
        </w:rPr>
      </w:pPr>
    </w:p>
    <w:p w14:paraId="707D8EE4" w14:textId="0A6283B5" w:rsidR="00193C7A" w:rsidRDefault="00193C7A" w:rsidP="00415B7D">
      <w:pPr>
        <w:tabs>
          <w:tab w:val="right" w:pos="9360"/>
        </w:tabs>
        <w:spacing w:after="0" w:line="240" w:lineRule="auto"/>
        <w:ind w:firstLine="0"/>
        <w:rPr>
          <w:rFonts w:ascii="Times New Roman" w:hAnsi="Times New Roman"/>
          <w:szCs w:val="24"/>
          <w:lang w:eastAsia="bg-BG"/>
        </w:rPr>
      </w:pPr>
    </w:p>
    <w:p w14:paraId="2E939EFC" w14:textId="77777777" w:rsidR="00F728B2" w:rsidRPr="00415B7D" w:rsidRDefault="00F728B2"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CA75F5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2C028BDD" w14:textId="1AB92309" w:rsidR="00193C7A" w:rsidRPr="00610101" w:rsidRDefault="00B85DDC"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Проект на р</w:t>
      </w:r>
      <w:r w:rsidR="00193C7A" w:rsidRPr="00610101">
        <w:rPr>
          <w:rFonts w:ascii="Times New Roman" w:hAnsi="Times New Roman"/>
          <w:b/>
          <w:bCs/>
          <w:szCs w:val="24"/>
        </w:rPr>
        <w:t>ешение за откриване на процедурата</w:t>
      </w: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4EAA094B" w14:textId="77777777" w:rsidTr="00F728B2">
        <w:trPr>
          <w:trHeight w:val="4490"/>
        </w:trPr>
        <w:tc>
          <w:tcPr>
            <w:tcW w:w="9214" w:type="dxa"/>
            <w:vAlign w:val="center"/>
          </w:tcPr>
          <w:p w14:paraId="7D30CD77"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3DB6C678" w14:textId="2EB90593" w:rsidR="008E6994" w:rsidRPr="00D372D6" w:rsidRDefault="00E22453" w:rsidP="00E61CB4">
            <w:pPr>
              <w:spacing w:before="60" w:after="60" w:line="240" w:lineRule="auto"/>
              <w:ind w:firstLine="0"/>
              <w:rPr>
                <w:rFonts w:ascii="Times New Roman" w:hAnsi="Times New Roman"/>
                <w:szCs w:val="24"/>
                <w:lang w:eastAsia="bg-BG"/>
              </w:rPr>
            </w:pPr>
            <w:r>
              <w:rPr>
                <w:rFonts w:ascii="Times New Roman" w:hAnsi="Times New Roman"/>
                <w:bCs/>
                <w:sz w:val="26"/>
                <w:szCs w:val="26"/>
                <w:lang w:eastAsia="bg-BG"/>
              </w:rPr>
              <w:t xml:space="preserve">        </w:t>
            </w:r>
            <w:r w:rsidR="008E6994">
              <w:rPr>
                <w:rFonts w:ascii="Times New Roman" w:hAnsi="Times New Roman"/>
                <w:bCs/>
                <w:sz w:val="26"/>
                <w:szCs w:val="26"/>
                <w:lang w:eastAsia="bg-BG"/>
              </w:rPr>
              <w:t>1</w:t>
            </w:r>
            <w:r w:rsidR="008E6994" w:rsidRPr="00E61CB4">
              <w:rPr>
                <w:rFonts w:ascii="Times New Roman" w:hAnsi="Times New Roman"/>
                <w:bCs/>
                <w:sz w:val="26"/>
                <w:szCs w:val="26"/>
                <w:lang w:eastAsia="bg-BG"/>
              </w:rPr>
              <w:t xml:space="preserve">. В проекта на решение </w:t>
            </w:r>
            <w:r w:rsidR="001D21EC" w:rsidRPr="00E61CB4">
              <w:rPr>
                <w:rFonts w:ascii="Times New Roman" w:hAnsi="Times New Roman"/>
                <w:bCs/>
                <w:sz w:val="26"/>
                <w:szCs w:val="26"/>
                <w:lang w:eastAsia="bg-BG"/>
              </w:rPr>
              <w:t xml:space="preserve">неправилно </w:t>
            </w:r>
            <w:r w:rsidR="008E6994" w:rsidRPr="00E61CB4">
              <w:rPr>
                <w:rFonts w:ascii="Times New Roman" w:hAnsi="Times New Roman"/>
                <w:bCs/>
                <w:sz w:val="26"/>
                <w:szCs w:val="26"/>
                <w:lang w:eastAsia="bg-BG"/>
              </w:rPr>
              <w:t>е отбелязано „</w:t>
            </w:r>
            <w:r w:rsidR="001D21EC" w:rsidRPr="00E61CB4">
              <w:rPr>
                <w:rFonts w:ascii="Times New Roman" w:hAnsi="Times New Roman"/>
                <w:bCs/>
                <w:sz w:val="26"/>
                <w:szCs w:val="26"/>
                <w:lang w:eastAsia="bg-BG"/>
              </w:rPr>
              <w:t>Р</w:t>
            </w:r>
            <w:r w:rsidR="008E6994" w:rsidRPr="00E61CB4">
              <w:rPr>
                <w:rFonts w:ascii="Times New Roman" w:hAnsi="Times New Roman"/>
                <w:bCs/>
                <w:sz w:val="26"/>
                <w:szCs w:val="26"/>
                <w:lang w:eastAsia="bg-BG"/>
              </w:rPr>
              <w:t>ешение за публикуване“. Възложителят следва да има предвид, че съгласно чл. 232, ал. 3, т.</w:t>
            </w:r>
            <w:r w:rsidR="00C64FAC" w:rsidRPr="00E61CB4">
              <w:rPr>
                <w:rFonts w:ascii="Times New Roman" w:hAnsi="Times New Roman"/>
                <w:bCs/>
                <w:sz w:val="26"/>
                <w:szCs w:val="26"/>
                <w:lang w:eastAsia="bg-BG"/>
              </w:rPr>
              <w:t> </w:t>
            </w:r>
            <w:r w:rsidR="008E6994" w:rsidRPr="00E61CB4">
              <w:rPr>
                <w:rFonts w:ascii="Times New Roman" w:hAnsi="Times New Roman"/>
                <w:bCs/>
                <w:sz w:val="26"/>
                <w:szCs w:val="26"/>
                <w:lang w:eastAsia="bg-BG"/>
              </w:rPr>
              <w:t>1 ЗОП, преди оповестяване откриването на процедурата, за контрол се изпращат проекти на документи.</w:t>
            </w:r>
            <w:r w:rsidR="008E6994" w:rsidRPr="005E058B">
              <w:rPr>
                <w:rFonts w:ascii="Times New Roman" w:hAnsi="Times New Roman"/>
                <w:sz w:val="26"/>
                <w:szCs w:val="26"/>
                <w:lang w:eastAsia="bg-BG"/>
              </w:rPr>
              <w:t xml:space="preserve"> </w:t>
            </w:r>
          </w:p>
          <w:p w14:paraId="3FB02D64" w14:textId="4B81DD7C" w:rsidR="00193C7A" w:rsidRDefault="008E6994" w:rsidP="005C38AE">
            <w:pPr>
              <w:spacing w:before="60" w:after="60" w:line="240" w:lineRule="auto"/>
              <w:ind w:firstLine="0"/>
              <w:rPr>
                <w:rFonts w:ascii="Times New Roman" w:hAnsi="Times New Roman"/>
                <w:bCs/>
                <w:sz w:val="26"/>
                <w:szCs w:val="26"/>
                <w:lang w:eastAsia="bg-BG"/>
              </w:rPr>
            </w:pPr>
            <w:r>
              <w:rPr>
                <w:rFonts w:ascii="Times New Roman" w:hAnsi="Times New Roman"/>
                <w:bCs/>
                <w:sz w:val="26"/>
                <w:szCs w:val="26"/>
                <w:lang w:eastAsia="bg-BG"/>
              </w:rPr>
              <w:t xml:space="preserve">         2. </w:t>
            </w:r>
            <w:r w:rsidR="00E22453" w:rsidRPr="00E22453">
              <w:rPr>
                <w:rFonts w:ascii="Times New Roman" w:hAnsi="Times New Roman"/>
                <w:bCs/>
                <w:sz w:val="26"/>
                <w:szCs w:val="26"/>
                <w:lang w:eastAsia="bg-BG"/>
              </w:rPr>
              <w:t xml:space="preserve">В </w:t>
            </w:r>
            <w:r w:rsidR="001D21EC">
              <w:rPr>
                <w:rFonts w:ascii="Times New Roman" w:hAnsi="Times New Roman"/>
                <w:bCs/>
                <w:sz w:val="26"/>
                <w:szCs w:val="26"/>
                <w:lang w:eastAsia="bg-BG"/>
              </w:rPr>
              <w:t xml:space="preserve">документа </w:t>
            </w:r>
            <w:r w:rsidR="00E22453" w:rsidRPr="00E22453">
              <w:rPr>
                <w:rFonts w:ascii="Times New Roman" w:hAnsi="Times New Roman"/>
                <w:bCs/>
                <w:sz w:val="26"/>
                <w:szCs w:val="26"/>
                <w:lang w:eastAsia="bg-BG"/>
              </w:rPr>
              <w:t xml:space="preserve">не е посочен идентификационен номер (ИН) на регистрационната форма от Системата за случаен избор (ССИ). Обръщаме внимание, че при откриване на процедурата в решението следва да се </w:t>
            </w:r>
            <w:r w:rsidR="005C38AE">
              <w:rPr>
                <w:rFonts w:ascii="Times New Roman" w:hAnsi="Times New Roman"/>
                <w:bCs/>
                <w:sz w:val="26"/>
                <w:szCs w:val="26"/>
                <w:lang w:eastAsia="bg-BG"/>
              </w:rPr>
              <w:t>попълни</w:t>
            </w:r>
            <w:r w:rsidR="00F0776E">
              <w:rPr>
                <w:rFonts w:ascii="Times New Roman" w:hAnsi="Times New Roman"/>
                <w:bCs/>
                <w:sz w:val="26"/>
                <w:szCs w:val="26"/>
                <w:lang w:val="en-US" w:eastAsia="bg-BG"/>
              </w:rPr>
              <w:t xml:space="preserve"> </w:t>
            </w:r>
            <w:r w:rsidR="00E22453" w:rsidRPr="00E22453">
              <w:rPr>
                <w:rFonts w:ascii="Times New Roman" w:hAnsi="Times New Roman"/>
                <w:bCs/>
                <w:sz w:val="26"/>
                <w:szCs w:val="26"/>
                <w:lang w:eastAsia="bg-BG"/>
              </w:rPr>
              <w:t>ИН на регистрационната форма от ССИ, да се отбележи, че е осъществен предварителен контрол и да се посочи номер и дата на становището на АОП от първи етап на контрол. Данните са важни за проследяването на двата етапа на контрола и непопълването им или грешното им подаване може да доведе до неосъществяване на втори етап на проверката.</w:t>
            </w:r>
          </w:p>
          <w:p w14:paraId="29127F9B" w14:textId="088CD444" w:rsidR="005C38AE" w:rsidRDefault="005C38AE" w:rsidP="005C38AE">
            <w:pPr>
              <w:spacing w:before="60" w:after="60" w:line="240" w:lineRule="auto"/>
              <w:ind w:firstLine="655"/>
              <w:rPr>
                <w:rFonts w:ascii="Times New Roman" w:hAnsi="Times New Roman"/>
                <w:bCs/>
                <w:sz w:val="26"/>
                <w:szCs w:val="26"/>
                <w:lang w:eastAsia="bg-BG"/>
              </w:rPr>
            </w:pPr>
            <w:r>
              <w:rPr>
                <w:rFonts w:ascii="Times New Roman" w:hAnsi="Times New Roman"/>
                <w:bCs/>
                <w:sz w:val="26"/>
                <w:szCs w:val="26"/>
                <w:lang w:eastAsia="bg-BG"/>
              </w:rPr>
              <w:t xml:space="preserve">3. </w:t>
            </w:r>
            <w:r w:rsidRPr="005D39D1">
              <w:rPr>
                <w:rFonts w:ascii="Times New Roman" w:hAnsi="Times New Roman"/>
                <w:bCs/>
                <w:sz w:val="26"/>
                <w:szCs w:val="26"/>
                <w:lang w:eastAsia="bg-BG"/>
              </w:rPr>
              <w:t>В поле ІV.4) е маркирано, че обществената поръчка не съдържа изисквания, свързани с опазване на око</w:t>
            </w:r>
            <w:r>
              <w:rPr>
                <w:rFonts w:ascii="Times New Roman" w:hAnsi="Times New Roman"/>
                <w:bCs/>
                <w:sz w:val="26"/>
                <w:szCs w:val="26"/>
                <w:lang w:eastAsia="bg-BG"/>
              </w:rPr>
              <w:t xml:space="preserve">лната среда. Доколкото в проектите на технически спецификации на обособените позиции </w:t>
            </w:r>
            <w:r w:rsidR="000B74F3">
              <w:rPr>
                <w:rFonts w:ascii="Times New Roman" w:hAnsi="Times New Roman"/>
                <w:bCs/>
                <w:sz w:val="26"/>
                <w:szCs w:val="26"/>
                <w:lang w:eastAsia="bg-BG"/>
              </w:rPr>
              <w:t xml:space="preserve">може да се направи извод, че </w:t>
            </w:r>
            <w:r w:rsidRPr="005D39D1">
              <w:rPr>
                <w:rFonts w:ascii="Times New Roman" w:hAnsi="Times New Roman"/>
                <w:bCs/>
                <w:sz w:val="26"/>
                <w:szCs w:val="26"/>
                <w:lang w:eastAsia="bg-BG"/>
              </w:rPr>
              <w:t>са поставени такива изисквания (</w:t>
            </w:r>
            <w:r>
              <w:rPr>
                <w:rFonts w:ascii="Times New Roman" w:hAnsi="Times New Roman"/>
                <w:bCs/>
                <w:sz w:val="26"/>
                <w:szCs w:val="26"/>
                <w:lang w:eastAsia="bg-BG"/>
              </w:rPr>
              <w:t xml:space="preserve">вж. </w:t>
            </w:r>
            <w:r w:rsidRPr="005D39D1">
              <w:rPr>
                <w:rFonts w:ascii="Times New Roman" w:hAnsi="Times New Roman"/>
                <w:bCs/>
                <w:sz w:val="26"/>
                <w:szCs w:val="26"/>
                <w:lang w:eastAsia="bg-BG"/>
              </w:rPr>
              <w:t>стр.</w:t>
            </w:r>
            <w:r>
              <w:rPr>
                <w:rFonts w:ascii="Times New Roman" w:hAnsi="Times New Roman"/>
                <w:bCs/>
                <w:sz w:val="26"/>
                <w:szCs w:val="26"/>
                <w:lang w:eastAsia="bg-BG"/>
              </w:rPr>
              <w:t xml:space="preserve"> 1, т. 3.3.</w:t>
            </w:r>
            <w:r w:rsidRPr="005D39D1">
              <w:rPr>
                <w:rFonts w:ascii="Times New Roman" w:hAnsi="Times New Roman"/>
                <w:bCs/>
                <w:sz w:val="26"/>
                <w:szCs w:val="26"/>
                <w:lang w:eastAsia="bg-BG"/>
              </w:rPr>
              <w:t xml:space="preserve">), </w:t>
            </w:r>
            <w:r w:rsidRPr="00D46F9A">
              <w:rPr>
                <w:rFonts w:ascii="Times New Roman" w:hAnsi="Times New Roman"/>
                <w:bCs/>
                <w:sz w:val="26"/>
                <w:szCs w:val="26"/>
                <w:highlight w:val="yellow"/>
                <w:lang w:eastAsia="bg-BG"/>
              </w:rPr>
              <w:t>препоръчваме редакция</w:t>
            </w:r>
            <w:r w:rsidR="000B74F3" w:rsidRPr="00D46F9A">
              <w:rPr>
                <w:rFonts w:ascii="Times New Roman" w:hAnsi="Times New Roman"/>
                <w:bCs/>
                <w:sz w:val="26"/>
                <w:szCs w:val="26"/>
                <w:highlight w:val="yellow"/>
                <w:lang w:eastAsia="bg-BG"/>
              </w:rPr>
              <w:t>, ако е приложимо</w:t>
            </w:r>
            <w:r w:rsidRPr="00D46F9A">
              <w:rPr>
                <w:rFonts w:ascii="Times New Roman" w:hAnsi="Times New Roman"/>
                <w:bCs/>
                <w:sz w:val="26"/>
                <w:szCs w:val="26"/>
                <w:highlight w:val="yellow"/>
                <w:lang w:eastAsia="bg-BG"/>
              </w:rPr>
              <w:t>.</w:t>
            </w:r>
          </w:p>
          <w:p w14:paraId="18FBA6EC" w14:textId="2A37563F" w:rsidR="005C38AE" w:rsidRPr="00384EAC" w:rsidRDefault="00F0776E" w:rsidP="00384EAC">
            <w:pPr>
              <w:spacing w:before="60" w:after="60" w:line="240" w:lineRule="auto"/>
              <w:ind w:firstLine="655"/>
              <w:rPr>
                <w:rFonts w:ascii="Times New Roman" w:hAnsi="Times New Roman"/>
                <w:bCs/>
                <w:sz w:val="26"/>
                <w:szCs w:val="26"/>
                <w:lang w:eastAsia="bg-BG"/>
              </w:rPr>
            </w:pPr>
            <w:r w:rsidRPr="00F0776E">
              <w:rPr>
                <w:rFonts w:ascii="Times New Roman" w:hAnsi="Times New Roman"/>
                <w:bCs/>
                <w:sz w:val="26"/>
                <w:szCs w:val="26"/>
                <w:lang w:eastAsia="bg-BG"/>
              </w:rPr>
              <w:t>4</w:t>
            </w:r>
            <w:r w:rsidR="005C38AE" w:rsidRPr="00F0776E">
              <w:rPr>
                <w:rFonts w:ascii="Times New Roman" w:hAnsi="Times New Roman"/>
                <w:bCs/>
                <w:sz w:val="26"/>
                <w:szCs w:val="26"/>
                <w:lang w:eastAsia="bg-BG"/>
              </w:rPr>
              <w:t xml:space="preserve">. Обръщаме внимание, че в поле </w:t>
            </w:r>
            <w:r w:rsidR="005C38AE" w:rsidRPr="00F0776E">
              <w:rPr>
                <w:rFonts w:ascii="Times New Roman" w:hAnsi="Times New Roman"/>
                <w:bCs/>
                <w:sz w:val="26"/>
                <w:szCs w:val="26"/>
                <w:lang w:val="en-US" w:eastAsia="bg-BG"/>
              </w:rPr>
              <w:t>VIII.1)</w:t>
            </w:r>
            <w:r w:rsidR="005C38AE" w:rsidRPr="00F0776E">
              <w:rPr>
                <w:rFonts w:ascii="Times New Roman" w:hAnsi="Times New Roman"/>
                <w:bCs/>
                <w:sz w:val="26"/>
                <w:szCs w:val="26"/>
                <w:lang w:eastAsia="bg-BG"/>
              </w:rPr>
              <w:t xml:space="preserve"> следва да се съдържат </w:t>
            </w:r>
            <w:r w:rsidR="005C38AE" w:rsidRPr="00D46F9A">
              <w:rPr>
                <w:rFonts w:ascii="Times New Roman" w:hAnsi="Times New Roman"/>
                <w:bCs/>
                <w:sz w:val="26"/>
                <w:szCs w:val="26"/>
                <w:highlight w:val="yellow"/>
                <w:lang w:eastAsia="bg-BG"/>
              </w:rPr>
              <w:t>„трите имена“ на лицето</w:t>
            </w:r>
            <w:r w:rsidR="005C38AE" w:rsidRPr="00F0776E">
              <w:rPr>
                <w:rFonts w:ascii="Times New Roman" w:hAnsi="Times New Roman"/>
                <w:bCs/>
                <w:sz w:val="26"/>
                <w:szCs w:val="26"/>
                <w:lang w:eastAsia="bg-BG"/>
              </w:rPr>
              <w:t xml:space="preserve">, издало акта </w:t>
            </w:r>
            <w:r w:rsidR="005C38AE" w:rsidRPr="00F0776E">
              <w:rPr>
                <w:rFonts w:ascii="Times New Roman" w:hAnsi="Times New Roman"/>
                <w:bCs/>
                <w:sz w:val="26"/>
                <w:szCs w:val="26"/>
                <w:lang w:val="ru-RU" w:eastAsia="bg-BG"/>
              </w:rPr>
              <w:t>(</w:t>
            </w:r>
            <w:r w:rsidR="005C38AE" w:rsidRPr="00F0776E">
              <w:rPr>
                <w:rFonts w:ascii="Times New Roman" w:hAnsi="Times New Roman"/>
                <w:bCs/>
                <w:sz w:val="26"/>
                <w:szCs w:val="26"/>
                <w:lang w:eastAsia="bg-BG"/>
              </w:rPr>
              <w:t xml:space="preserve">вж. чл. 22, ал. 5, т. 8 вр. ал. 1, т. 1 ЗОП и </w:t>
            </w:r>
            <w:r w:rsidR="005C38AE" w:rsidRPr="00F0776E">
              <w:rPr>
                <w:rFonts w:ascii="Times New Roman" w:hAnsi="Times New Roman"/>
                <w:bCs/>
                <w:sz w:val="26"/>
                <w:szCs w:val="26"/>
                <w:lang w:val="en-US" w:eastAsia="bg-BG"/>
              </w:rPr>
              <w:t xml:space="preserve">§ 131, </w:t>
            </w:r>
            <w:proofErr w:type="spellStart"/>
            <w:r w:rsidR="005C38AE" w:rsidRPr="00F0776E">
              <w:rPr>
                <w:rFonts w:ascii="Times New Roman" w:hAnsi="Times New Roman"/>
                <w:bCs/>
                <w:sz w:val="26"/>
                <w:szCs w:val="26"/>
                <w:lang w:val="en-US" w:eastAsia="bg-BG"/>
              </w:rPr>
              <w:t>ал</w:t>
            </w:r>
            <w:proofErr w:type="spellEnd"/>
            <w:r w:rsidR="005C38AE" w:rsidRPr="00F0776E">
              <w:rPr>
                <w:rFonts w:ascii="Times New Roman" w:hAnsi="Times New Roman"/>
                <w:bCs/>
                <w:sz w:val="26"/>
                <w:szCs w:val="26"/>
                <w:lang w:val="en-US" w:eastAsia="bg-BG"/>
              </w:rPr>
              <w:t xml:space="preserve">. 3 </w:t>
            </w:r>
            <w:proofErr w:type="spellStart"/>
            <w:r w:rsidR="005C38AE" w:rsidRPr="00F0776E">
              <w:rPr>
                <w:rFonts w:ascii="Times New Roman" w:hAnsi="Times New Roman"/>
                <w:bCs/>
                <w:sz w:val="26"/>
                <w:szCs w:val="26"/>
                <w:lang w:val="en-US" w:eastAsia="bg-BG"/>
              </w:rPr>
              <w:t>от</w:t>
            </w:r>
            <w:proofErr w:type="spellEnd"/>
            <w:r w:rsidR="005C38AE" w:rsidRPr="00F0776E">
              <w:rPr>
                <w:rFonts w:ascii="Times New Roman" w:hAnsi="Times New Roman"/>
                <w:bCs/>
                <w:sz w:val="26"/>
                <w:szCs w:val="26"/>
                <w:lang w:val="en-US" w:eastAsia="bg-BG"/>
              </w:rPr>
              <w:t xml:space="preserve"> ПЗР </w:t>
            </w:r>
            <w:proofErr w:type="spellStart"/>
            <w:r w:rsidR="005C38AE" w:rsidRPr="00F0776E">
              <w:rPr>
                <w:rFonts w:ascii="Times New Roman" w:hAnsi="Times New Roman"/>
                <w:bCs/>
                <w:sz w:val="26"/>
                <w:szCs w:val="26"/>
                <w:lang w:val="en-US" w:eastAsia="bg-BG"/>
              </w:rPr>
              <w:t>на</w:t>
            </w:r>
            <w:proofErr w:type="spellEnd"/>
            <w:r w:rsidR="005C38AE" w:rsidRPr="00F0776E">
              <w:rPr>
                <w:rFonts w:ascii="Times New Roman" w:hAnsi="Times New Roman"/>
                <w:bCs/>
                <w:sz w:val="26"/>
                <w:szCs w:val="26"/>
                <w:lang w:val="en-US" w:eastAsia="bg-BG"/>
              </w:rPr>
              <w:t xml:space="preserve"> ЗИДЗОП</w:t>
            </w:r>
            <w:r w:rsidR="005C38AE" w:rsidRPr="00F0776E">
              <w:rPr>
                <w:rFonts w:ascii="Times New Roman" w:hAnsi="Times New Roman"/>
                <w:bCs/>
                <w:sz w:val="26"/>
                <w:szCs w:val="26"/>
                <w:lang w:eastAsia="bg-BG"/>
              </w:rPr>
              <w:t xml:space="preserve"> </w:t>
            </w:r>
            <w:r w:rsidR="005C38AE" w:rsidRPr="00F0776E">
              <w:rPr>
                <w:rFonts w:ascii="Times New Roman" w:hAnsi="Times New Roman"/>
                <w:bCs/>
                <w:iCs/>
                <w:sz w:val="26"/>
                <w:szCs w:val="26"/>
                <w:lang w:eastAsia="bg-BG"/>
              </w:rPr>
              <w:t>(обн. – ДВ, бр. 86 от 2018 г., изм. и доп. – ДВ, бр. 102 от 2019</w:t>
            </w:r>
            <w:r w:rsidR="00643CB6" w:rsidRPr="00F0776E">
              <w:rPr>
                <w:rFonts w:ascii="Times New Roman" w:hAnsi="Times New Roman"/>
                <w:bCs/>
                <w:iCs/>
                <w:sz w:val="26"/>
                <w:szCs w:val="26"/>
                <w:lang w:eastAsia="bg-BG"/>
              </w:rPr>
              <w:t> </w:t>
            </w:r>
            <w:r w:rsidR="005C38AE" w:rsidRPr="00F0776E">
              <w:rPr>
                <w:rFonts w:ascii="Times New Roman" w:hAnsi="Times New Roman"/>
                <w:bCs/>
                <w:iCs/>
                <w:sz w:val="26"/>
                <w:szCs w:val="26"/>
                <w:lang w:eastAsia="bg-BG"/>
              </w:rPr>
              <w:t>г.</w:t>
            </w:r>
            <w:r w:rsidR="005C38AE" w:rsidRPr="00F0776E">
              <w:rPr>
                <w:rFonts w:ascii="Times New Roman" w:hAnsi="Times New Roman"/>
                <w:bCs/>
                <w:sz w:val="26"/>
                <w:szCs w:val="26"/>
                <w:lang w:eastAsia="bg-BG"/>
              </w:rPr>
              <w:t>). Препоръчваме допълване.</w:t>
            </w:r>
          </w:p>
        </w:tc>
      </w:tr>
    </w:tbl>
    <w:p w14:paraId="6C33703D" w14:textId="77777777" w:rsidR="00193C7A" w:rsidRDefault="00193C7A" w:rsidP="00193C7A">
      <w:pPr>
        <w:spacing w:after="0" w:line="240" w:lineRule="auto"/>
        <w:ind w:firstLine="0"/>
        <w:jc w:val="left"/>
        <w:rPr>
          <w:rFonts w:ascii="Times New Roman" w:hAnsi="Times New Roman"/>
          <w:szCs w:val="24"/>
          <w:lang w:eastAsia="bg-BG"/>
        </w:rPr>
      </w:pPr>
    </w:p>
    <w:p w14:paraId="7046FD50" w14:textId="77777777" w:rsidR="00F728B2" w:rsidRDefault="00F728B2" w:rsidP="00193C7A">
      <w:pPr>
        <w:spacing w:after="0" w:line="240" w:lineRule="auto"/>
        <w:ind w:firstLine="0"/>
        <w:jc w:val="left"/>
        <w:rPr>
          <w:rFonts w:ascii="Times New Roman" w:hAnsi="Times New Roman"/>
          <w:szCs w:val="24"/>
          <w:lang w:eastAsia="bg-BG"/>
        </w:rPr>
      </w:pPr>
    </w:p>
    <w:p w14:paraId="3EA04369" w14:textId="77777777" w:rsidR="00F728B2" w:rsidRPr="00193C7A" w:rsidRDefault="00F728B2" w:rsidP="00193C7A">
      <w:pPr>
        <w:spacing w:after="0" w:line="240" w:lineRule="auto"/>
        <w:ind w:firstLine="0"/>
        <w:jc w:val="left"/>
        <w:rPr>
          <w:rFonts w:ascii="Times New Roman" w:hAnsi="Times New Roman"/>
          <w:szCs w:val="24"/>
          <w:lang w:eastAsia="bg-BG"/>
        </w:rPr>
      </w:pPr>
    </w:p>
    <w:p w14:paraId="0C65C6E1" w14:textId="2CB3F134" w:rsidR="00193C7A" w:rsidRPr="00610101" w:rsidRDefault="00B85DDC"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Проект на о</w:t>
      </w:r>
      <w:r w:rsidR="00193C7A" w:rsidRPr="00610101">
        <w:rPr>
          <w:rFonts w:ascii="Times New Roman" w:hAnsi="Times New Roman"/>
          <w:b/>
          <w:bCs/>
          <w:szCs w:val="24"/>
        </w:rPr>
        <w:t>бявление за обществена поръчка</w:t>
      </w:r>
    </w:p>
    <w:p w14:paraId="562FC455" w14:textId="77777777" w:rsidR="00ED7D7C" w:rsidRPr="00193C7A" w:rsidRDefault="00ED7D7C"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23580ED0" w14:textId="77777777" w:rsidTr="00811413">
        <w:trPr>
          <w:trHeight w:val="20"/>
        </w:trPr>
        <w:tc>
          <w:tcPr>
            <w:tcW w:w="9214" w:type="dxa"/>
            <w:tcBorders>
              <w:bottom w:val="single" w:sz="12" w:space="0" w:color="auto"/>
            </w:tcBorders>
            <w:shd w:val="clear" w:color="auto" w:fill="D9D9D9"/>
            <w:vAlign w:val="center"/>
          </w:tcPr>
          <w:p w14:paraId="78745E71" w14:textId="31E018AB"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Възлагащ орган</w:t>
            </w:r>
          </w:p>
        </w:tc>
      </w:tr>
      <w:tr w:rsidR="00193C7A" w:rsidRPr="00193C7A" w14:paraId="4224BBA1" w14:textId="77777777" w:rsidTr="00811413">
        <w:trPr>
          <w:trHeight w:val="596"/>
        </w:trPr>
        <w:tc>
          <w:tcPr>
            <w:tcW w:w="9214" w:type="dxa"/>
            <w:tcBorders>
              <w:top w:val="single" w:sz="4" w:space="0" w:color="auto"/>
            </w:tcBorders>
          </w:tcPr>
          <w:p w14:paraId="70378F04"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E7679A0" w14:textId="761DB507" w:rsidR="00193C7A" w:rsidRPr="005C39B9" w:rsidRDefault="00FE32A6" w:rsidP="00FC56E6">
            <w:pPr>
              <w:spacing w:before="60" w:after="60" w:line="240" w:lineRule="auto"/>
              <w:ind w:firstLine="567"/>
              <w:rPr>
                <w:rFonts w:ascii="Times New Roman" w:hAnsi="Times New Roman"/>
                <w:bCs/>
                <w:sz w:val="26"/>
                <w:szCs w:val="26"/>
                <w:lang w:eastAsia="bg-BG"/>
              </w:rPr>
            </w:pPr>
            <w:r w:rsidRPr="00643CB6">
              <w:rPr>
                <w:rFonts w:ascii="Times New Roman" w:hAnsi="Times New Roman"/>
                <w:bCs/>
                <w:sz w:val="26"/>
                <w:szCs w:val="26"/>
                <w:lang w:eastAsia="bg-BG"/>
              </w:rPr>
              <w:t xml:space="preserve">Обръщаме внимание, че посоченият в поле І.3) интернет </w:t>
            </w:r>
            <w:r w:rsidRPr="00D46F9A">
              <w:rPr>
                <w:rFonts w:ascii="Times New Roman" w:hAnsi="Times New Roman"/>
                <w:bCs/>
                <w:sz w:val="26"/>
                <w:szCs w:val="26"/>
                <w:highlight w:val="yellow"/>
                <w:lang w:eastAsia="bg-BG"/>
              </w:rPr>
              <w:t>адрес следва да препраща към обособената електронна преписка в профила на купувача</w:t>
            </w:r>
            <w:r w:rsidRPr="00643CB6">
              <w:rPr>
                <w:rFonts w:ascii="Times New Roman" w:hAnsi="Times New Roman"/>
                <w:bCs/>
                <w:sz w:val="26"/>
                <w:szCs w:val="26"/>
                <w:lang w:eastAsia="bg-BG"/>
              </w:rPr>
              <w:t xml:space="preserve">, съдържаща документите на конкретната поръчка (вж. чл. </w:t>
            </w:r>
            <w:r w:rsidRPr="00384EAC">
              <w:rPr>
                <w:rFonts w:ascii="Times New Roman" w:hAnsi="Times New Roman"/>
                <w:bCs/>
                <w:sz w:val="26"/>
                <w:szCs w:val="26"/>
                <w:lang w:eastAsia="bg-BG"/>
              </w:rPr>
              <w:t>3</w:t>
            </w:r>
            <w:r w:rsidRPr="00643CB6">
              <w:rPr>
                <w:rFonts w:ascii="Times New Roman" w:hAnsi="Times New Roman"/>
                <w:bCs/>
                <w:sz w:val="26"/>
                <w:szCs w:val="26"/>
                <w:lang w:eastAsia="bg-BG"/>
              </w:rPr>
              <w:t xml:space="preserve">2, ал. </w:t>
            </w:r>
            <w:r w:rsidRPr="00384EAC">
              <w:rPr>
                <w:rFonts w:ascii="Times New Roman" w:hAnsi="Times New Roman"/>
                <w:bCs/>
                <w:sz w:val="26"/>
                <w:szCs w:val="26"/>
                <w:lang w:eastAsia="bg-BG"/>
              </w:rPr>
              <w:t xml:space="preserve">1 </w:t>
            </w:r>
            <w:r w:rsidRPr="00643CB6">
              <w:rPr>
                <w:rFonts w:ascii="Times New Roman" w:hAnsi="Times New Roman"/>
                <w:bCs/>
                <w:sz w:val="26"/>
                <w:szCs w:val="26"/>
                <w:lang w:eastAsia="bg-BG"/>
              </w:rPr>
              <w:t xml:space="preserve">и ал. 2 ЗОП, чл. </w:t>
            </w:r>
            <w:r w:rsidRPr="00384EAC">
              <w:rPr>
                <w:rFonts w:ascii="Times New Roman" w:hAnsi="Times New Roman"/>
                <w:bCs/>
                <w:sz w:val="26"/>
                <w:szCs w:val="26"/>
                <w:lang w:eastAsia="bg-BG"/>
              </w:rPr>
              <w:t>36</w:t>
            </w:r>
            <w:r w:rsidRPr="00643CB6">
              <w:rPr>
                <w:rFonts w:ascii="Times New Roman" w:hAnsi="Times New Roman"/>
                <w:bCs/>
                <w:sz w:val="26"/>
                <w:szCs w:val="26"/>
                <w:lang w:eastAsia="bg-BG"/>
              </w:rPr>
              <w:t xml:space="preserve">а, ал. 1 и ал. 2 ЗОП, </w:t>
            </w:r>
            <w:r w:rsidRPr="00384EAC">
              <w:rPr>
                <w:rFonts w:ascii="Times New Roman" w:hAnsi="Times New Roman"/>
                <w:bCs/>
                <w:sz w:val="26"/>
                <w:szCs w:val="26"/>
                <w:lang w:eastAsia="bg-BG"/>
              </w:rPr>
              <w:t>§ 131, ал. 3 от ПЗР на ЗИДЗОП</w:t>
            </w:r>
            <w:r w:rsidRPr="00643CB6">
              <w:rPr>
                <w:rFonts w:ascii="Times New Roman" w:hAnsi="Times New Roman"/>
                <w:bCs/>
                <w:sz w:val="26"/>
                <w:szCs w:val="26"/>
                <w:lang w:eastAsia="bg-BG"/>
              </w:rPr>
              <w:t xml:space="preserve"> </w:t>
            </w:r>
            <w:r w:rsidRPr="00643CB6">
              <w:rPr>
                <w:rFonts w:ascii="Times New Roman" w:hAnsi="Times New Roman"/>
                <w:bCs/>
                <w:iCs/>
                <w:sz w:val="26"/>
                <w:szCs w:val="26"/>
                <w:lang w:eastAsia="bg-BG"/>
              </w:rPr>
              <w:t>(обн. – ДВ, бр. 86 от 2018 г., изм. и доп. – ДВ, бр. 102 от 2019 г.</w:t>
            </w:r>
            <w:r w:rsidRPr="005C39B9">
              <w:rPr>
                <w:rFonts w:ascii="Times New Roman" w:hAnsi="Times New Roman"/>
                <w:bCs/>
                <w:sz w:val="26"/>
                <w:szCs w:val="26"/>
                <w:lang w:eastAsia="bg-BG"/>
              </w:rPr>
              <w:t>) и Приложение № 4, част Б, т. 2 ЗОП). Препоръчваме редакция.</w:t>
            </w:r>
          </w:p>
        </w:tc>
      </w:tr>
    </w:tbl>
    <w:p w14:paraId="59D23461" w14:textId="77777777" w:rsidR="00F728B2" w:rsidRDefault="00F728B2"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7EFF9E94" w14:textId="77777777" w:rsidTr="00335C69">
        <w:trPr>
          <w:trHeight w:val="20"/>
        </w:trPr>
        <w:tc>
          <w:tcPr>
            <w:tcW w:w="9214" w:type="dxa"/>
            <w:tcBorders>
              <w:bottom w:val="single" w:sz="12" w:space="0" w:color="auto"/>
            </w:tcBorders>
            <w:shd w:val="clear" w:color="auto" w:fill="E0E0E0"/>
            <w:vAlign w:val="center"/>
          </w:tcPr>
          <w:p w14:paraId="0AD741AF" w14:textId="419A5C42" w:rsidR="00CB3B0A" w:rsidRPr="004935AF" w:rsidRDefault="00CB3B0A" w:rsidP="0057618B">
            <w:pPr>
              <w:tabs>
                <w:tab w:val="left" w:pos="5983"/>
                <w:tab w:val="left" w:pos="7123"/>
                <w:tab w:val="right" w:pos="9360"/>
              </w:tabs>
              <w:spacing w:before="60" w:after="60" w:line="240" w:lineRule="auto"/>
              <w:ind w:firstLine="0"/>
              <w:jc w:val="left"/>
              <w:rPr>
                <w:rFonts w:ascii="Times New Roman" w:hAnsi="Times New Roman"/>
                <w:bCs/>
                <w:szCs w:val="24"/>
                <w:lang w:eastAsia="bg-BG"/>
              </w:rPr>
            </w:pPr>
            <w:r w:rsidRPr="004935AF">
              <w:rPr>
                <w:rFonts w:ascii="Times New Roman" w:hAnsi="Times New Roman"/>
                <w:b/>
                <w:bCs/>
                <w:szCs w:val="24"/>
                <w:lang w:eastAsia="bg-BG"/>
              </w:rPr>
              <w:t>Условия във връзка с поръчката</w:t>
            </w:r>
          </w:p>
        </w:tc>
      </w:tr>
      <w:tr w:rsidR="00193C7A" w:rsidRPr="004935AF" w14:paraId="71D55984" w14:textId="77777777" w:rsidTr="00335C69">
        <w:trPr>
          <w:trHeight w:val="20"/>
        </w:trPr>
        <w:tc>
          <w:tcPr>
            <w:tcW w:w="9214" w:type="dxa"/>
            <w:tcBorders>
              <w:top w:val="single" w:sz="4" w:space="0" w:color="auto"/>
            </w:tcBorders>
            <w:vAlign w:val="center"/>
          </w:tcPr>
          <w:p w14:paraId="486711C8" w14:textId="77777777" w:rsidR="00193C7A" w:rsidRPr="004935AF"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4935AF">
              <w:rPr>
                <w:rFonts w:ascii="Times New Roman" w:hAnsi="Times New Roman"/>
                <w:bCs/>
                <w:i/>
                <w:szCs w:val="24"/>
                <w:lang w:eastAsia="bg-BG"/>
              </w:rPr>
              <w:t>Констатации и препоръки:</w:t>
            </w:r>
          </w:p>
          <w:p w14:paraId="3521EEDD" w14:textId="28D7FB08" w:rsidR="00193C7A" w:rsidRPr="004935AF" w:rsidRDefault="000D43F1" w:rsidP="000D43F1">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0D43F1">
              <w:rPr>
                <w:rFonts w:ascii="Times New Roman" w:hAnsi="Times New Roman"/>
                <w:bCs/>
                <w:sz w:val="26"/>
                <w:szCs w:val="26"/>
                <w:lang w:eastAsia="bg-BG"/>
              </w:rPr>
              <w:t xml:space="preserve">В проекта на обявление </w:t>
            </w:r>
            <w:r w:rsidRPr="00D46F9A">
              <w:rPr>
                <w:rFonts w:ascii="Times New Roman" w:hAnsi="Times New Roman"/>
                <w:bCs/>
                <w:sz w:val="26"/>
                <w:szCs w:val="26"/>
                <w:highlight w:val="yellow"/>
                <w:lang w:eastAsia="bg-BG"/>
              </w:rPr>
              <w:t>липсва информация за предвидени гаранции</w:t>
            </w:r>
            <w:r w:rsidRPr="000D43F1">
              <w:rPr>
                <w:rFonts w:ascii="Times New Roman" w:hAnsi="Times New Roman"/>
                <w:bCs/>
                <w:sz w:val="26"/>
                <w:szCs w:val="26"/>
                <w:lang w:eastAsia="bg-BG"/>
              </w:rPr>
              <w:t>. В случай че изисква такива, възложителят следва да има предвид разпоредбата на чл. 111, ал. 4 ЗОП, съгласно която предвидените гаранции и техният процент се посочват в обявлението, с което се оповестява откриването на процедурата. Препоръчваме допълване, ако е приложимо.</w:t>
            </w:r>
          </w:p>
        </w:tc>
      </w:tr>
    </w:tbl>
    <w:p w14:paraId="3A1448ED" w14:textId="77777777" w:rsidR="00224CA0" w:rsidRDefault="00224CA0" w:rsidP="000B2F4A">
      <w:pPr>
        <w:keepNext/>
        <w:keepLines/>
        <w:spacing w:after="0" w:line="240" w:lineRule="auto"/>
        <w:ind w:firstLine="0"/>
        <w:jc w:val="left"/>
        <w:outlineLvl w:val="4"/>
        <w:rPr>
          <w:rFonts w:ascii="Times New Roman" w:hAnsi="Times New Roman"/>
          <w:b/>
          <w:szCs w:val="24"/>
          <w:lang w:eastAsia="bg-BG"/>
        </w:rPr>
      </w:pPr>
    </w:p>
    <w:p w14:paraId="34F41A5D" w14:textId="77777777" w:rsidR="00703442" w:rsidRPr="00811413" w:rsidRDefault="00703442"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1B8CCA6D" w14:textId="77777777" w:rsidTr="00F728B2">
        <w:trPr>
          <w:trHeight w:val="20"/>
        </w:trPr>
        <w:tc>
          <w:tcPr>
            <w:tcW w:w="9214" w:type="dxa"/>
            <w:shd w:val="clear" w:color="auto" w:fill="D9D9D9"/>
            <w:vAlign w:val="center"/>
          </w:tcPr>
          <w:p w14:paraId="1F730B7F" w14:textId="59790772"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Допълнителна информация</w:t>
            </w:r>
          </w:p>
        </w:tc>
      </w:tr>
      <w:tr w:rsidR="00193C7A" w:rsidRPr="00193C7A" w14:paraId="4A718CD1" w14:textId="77777777" w:rsidTr="00F728B2">
        <w:trPr>
          <w:trHeight w:val="20"/>
        </w:trPr>
        <w:tc>
          <w:tcPr>
            <w:tcW w:w="9214" w:type="dxa"/>
            <w:vAlign w:val="center"/>
          </w:tcPr>
          <w:p w14:paraId="0D7593DB" w14:textId="77777777"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Констатации и препоръки:</w:t>
            </w:r>
          </w:p>
          <w:p w14:paraId="72B5FB2B" w14:textId="707A867E" w:rsidR="00193C7A" w:rsidRPr="00193C7A" w:rsidRDefault="008D47DB" w:rsidP="00193C7A">
            <w:pPr>
              <w:spacing w:before="60" w:after="60" w:line="240" w:lineRule="auto"/>
              <w:ind w:firstLine="567"/>
              <w:rPr>
                <w:rFonts w:ascii="Times New Roman" w:hAnsi="Times New Roman"/>
                <w:bCs/>
                <w:sz w:val="26"/>
                <w:szCs w:val="26"/>
                <w:lang w:eastAsia="bg-BG"/>
              </w:rPr>
            </w:pPr>
            <w:r w:rsidRPr="008D47DB">
              <w:rPr>
                <w:rFonts w:ascii="Times New Roman" w:hAnsi="Times New Roman"/>
                <w:bCs/>
                <w:sz w:val="26"/>
                <w:szCs w:val="26"/>
                <w:lang w:eastAsia="bg-BG"/>
              </w:rPr>
              <w:t xml:space="preserve">В проекта на обявление </w:t>
            </w:r>
            <w:r w:rsidRPr="00D46F9A">
              <w:rPr>
                <w:rFonts w:ascii="Times New Roman" w:hAnsi="Times New Roman"/>
                <w:bCs/>
                <w:sz w:val="26"/>
                <w:szCs w:val="26"/>
                <w:highlight w:val="yellow"/>
                <w:lang w:eastAsia="bg-BG"/>
              </w:rPr>
              <w:t>не са отбелязани основания за отстраняване от участие в процедурата</w:t>
            </w:r>
            <w:r w:rsidRPr="008D47DB">
              <w:rPr>
                <w:rFonts w:ascii="Times New Roman" w:hAnsi="Times New Roman"/>
                <w:bCs/>
                <w:sz w:val="26"/>
                <w:szCs w:val="26"/>
                <w:lang w:eastAsia="bg-BG"/>
              </w:rPr>
              <w:t xml:space="preserve"> </w:t>
            </w:r>
            <w:r w:rsidRPr="008D47DB">
              <w:rPr>
                <w:rFonts w:ascii="Times New Roman" w:hAnsi="Times New Roman"/>
                <w:bCs/>
                <w:sz w:val="26"/>
                <w:szCs w:val="26"/>
                <w:lang w:val="ru-RU" w:eastAsia="bg-BG"/>
              </w:rPr>
              <w:t>(вж. Приложение № 4, Част „Б“, т. 11, б. „в” ЗОП). Препоръчваме допълване.</w:t>
            </w:r>
          </w:p>
        </w:tc>
      </w:tr>
    </w:tbl>
    <w:p w14:paraId="5A4D0BF0" w14:textId="77777777" w:rsidR="00193C7A" w:rsidRDefault="00193C7A" w:rsidP="00193C7A">
      <w:pPr>
        <w:spacing w:after="0" w:line="240" w:lineRule="auto"/>
        <w:ind w:firstLine="0"/>
        <w:jc w:val="left"/>
        <w:rPr>
          <w:rFonts w:ascii="Times New Roman" w:hAnsi="Times New Roman"/>
          <w:szCs w:val="24"/>
          <w:lang w:eastAsia="bg-BG"/>
        </w:rPr>
      </w:pPr>
    </w:p>
    <w:p w14:paraId="6E70E91C" w14:textId="77777777" w:rsidR="00F728B2" w:rsidRPr="00193C7A" w:rsidRDefault="00F728B2" w:rsidP="00193C7A">
      <w:pPr>
        <w:spacing w:after="0" w:line="240" w:lineRule="auto"/>
        <w:ind w:firstLine="0"/>
        <w:jc w:val="left"/>
        <w:rPr>
          <w:rFonts w:ascii="Times New Roman" w:hAnsi="Times New Roman"/>
          <w:szCs w:val="24"/>
          <w:lang w:eastAsia="bg-BG"/>
        </w:rPr>
      </w:pPr>
    </w:p>
    <w:p w14:paraId="58CFD9EA" w14:textId="131F802D" w:rsidR="00193C7A" w:rsidRPr="00193C7A" w:rsidRDefault="00B85DDC" w:rsidP="00193C7A">
      <w:pPr>
        <w:tabs>
          <w:tab w:val="left" w:pos="1440"/>
        </w:tabs>
        <w:spacing w:after="0" w:line="240" w:lineRule="auto"/>
        <w:ind w:firstLine="0"/>
        <w:rPr>
          <w:rFonts w:ascii="Times New Roman" w:hAnsi="Times New Roman"/>
          <w:szCs w:val="24"/>
          <w:lang w:eastAsia="bg-BG"/>
        </w:rPr>
      </w:pPr>
      <w:r w:rsidRPr="00CA3489">
        <w:rPr>
          <w:rFonts w:ascii="Times New Roman" w:hAnsi="Times New Roman"/>
          <w:b/>
        </w:rPr>
        <w:t>Проект на</w:t>
      </w:r>
      <w:r w:rsidRPr="00CA3489">
        <w:rPr>
          <w:rFonts w:ascii="Times New Roman" w:hAnsi="Times New Roman"/>
          <w:b/>
          <w:szCs w:val="24"/>
          <w:lang w:eastAsia="bg-BG"/>
        </w:rPr>
        <w:t xml:space="preserve"> т</w:t>
      </w:r>
      <w:r w:rsidR="00193C7A" w:rsidRPr="00CA3489">
        <w:rPr>
          <w:rFonts w:ascii="Times New Roman" w:hAnsi="Times New Roman"/>
          <w:b/>
          <w:szCs w:val="24"/>
          <w:lang w:eastAsia="bg-BG"/>
        </w:rPr>
        <w:t>ехническа спецификация</w:t>
      </w:r>
    </w:p>
    <w:p w14:paraId="38E7DD25"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9214"/>
      </w:tblGrid>
      <w:tr w:rsidR="00193C7A" w:rsidRPr="00193C7A" w14:paraId="68EDA7EA" w14:textId="77777777" w:rsidTr="00E61CB4">
        <w:trPr>
          <w:trHeight w:val="3290"/>
        </w:trPr>
        <w:tc>
          <w:tcPr>
            <w:tcW w:w="9214" w:type="dxa"/>
            <w:vAlign w:val="center"/>
          </w:tcPr>
          <w:p w14:paraId="4A0D8E1D" w14:textId="588E4E5C" w:rsidR="002C557B" w:rsidRPr="00F728B2" w:rsidRDefault="00193C7A" w:rsidP="00F728B2">
            <w:pPr>
              <w:tabs>
                <w:tab w:val="left" w:pos="5983"/>
                <w:tab w:val="left" w:pos="7123"/>
                <w:tab w:val="right" w:pos="9360"/>
              </w:tabs>
              <w:spacing w:before="60" w:after="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0511C382" w14:textId="553C358F" w:rsidR="002C557B" w:rsidRPr="002C557B" w:rsidRDefault="00F728B2" w:rsidP="00F728B2">
            <w:pPr>
              <w:tabs>
                <w:tab w:val="left" w:pos="572"/>
              </w:tabs>
              <w:spacing w:before="60" w:after="0" w:line="240" w:lineRule="auto"/>
              <w:ind w:firstLine="567"/>
              <w:rPr>
                <w:rFonts w:ascii="Times New Roman" w:hAnsi="Times New Roman"/>
                <w:bCs/>
                <w:sz w:val="26"/>
                <w:szCs w:val="26"/>
                <w:lang w:eastAsia="bg-BG"/>
              </w:rPr>
            </w:pPr>
            <w:r>
              <w:rPr>
                <w:rFonts w:ascii="Times New Roman" w:hAnsi="Times New Roman"/>
                <w:bCs/>
                <w:sz w:val="26"/>
                <w:szCs w:val="26"/>
                <w:lang w:eastAsia="bg-BG"/>
              </w:rPr>
              <w:t>1</w:t>
            </w:r>
            <w:r w:rsidR="002C557B" w:rsidRPr="002C557B">
              <w:rPr>
                <w:rFonts w:ascii="Times New Roman" w:hAnsi="Times New Roman"/>
                <w:bCs/>
                <w:sz w:val="26"/>
                <w:szCs w:val="26"/>
                <w:lang w:eastAsia="bg-BG"/>
              </w:rPr>
              <w:t xml:space="preserve">. В документите са посочени стандарти (стр. 4 и стр. 8 - БДС EN 1789:2007+A2:2014, стр. 7 и стр. 8 - IEC 60529), които </w:t>
            </w:r>
            <w:r w:rsidR="002C557B" w:rsidRPr="00D46F9A">
              <w:rPr>
                <w:rFonts w:ascii="Times New Roman" w:hAnsi="Times New Roman"/>
                <w:bCs/>
                <w:sz w:val="26"/>
                <w:szCs w:val="26"/>
                <w:highlight w:val="yellow"/>
                <w:lang w:eastAsia="bg-BG"/>
              </w:rPr>
              <w:t>не са допълнени с думите "или еквивалентно/и"</w:t>
            </w:r>
            <w:r w:rsidR="002C557B" w:rsidRPr="002C557B">
              <w:rPr>
                <w:rFonts w:ascii="Times New Roman" w:hAnsi="Times New Roman"/>
                <w:bCs/>
                <w:sz w:val="26"/>
                <w:szCs w:val="26"/>
                <w:lang w:eastAsia="bg-BG"/>
              </w:rPr>
              <w:t xml:space="preserve"> (вж. чл. 48, ал. 2 ЗОП). Препоръчваме допълване.</w:t>
            </w:r>
          </w:p>
          <w:p w14:paraId="158604F5" w14:textId="77953ECB" w:rsidR="002C557B" w:rsidRPr="002C557B" w:rsidRDefault="00F728B2" w:rsidP="00F728B2">
            <w:pPr>
              <w:tabs>
                <w:tab w:val="left" w:pos="572"/>
              </w:tabs>
              <w:spacing w:before="60" w:after="0" w:line="240" w:lineRule="auto"/>
              <w:ind w:firstLine="567"/>
              <w:rPr>
                <w:rFonts w:ascii="Times New Roman" w:hAnsi="Times New Roman"/>
                <w:bCs/>
                <w:sz w:val="26"/>
                <w:szCs w:val="26"/>
                <w:lang w:eastAsia="bg-BG"/>
              </w:rPr>
            </w:pPr>
            <w:r>
              <w:rPr>
                <w:rFonts w:ascii="Times New Roman" w:hAnsi="Times New Roman"/>
                <w:bCs/>
                <w:sz w:val="26"/>
                <w:szCs w:val="26"/>
                <w:lang w:eastAsia="bg-BG"/>
              </w:rPr>
              <w:t>2</w:t>
            </w:r>
            <w:r w:rsidR="002C557B" w:rsidRPr="002C557B">
              <w:rPr>
                <w:rFonts w:ascii="Times New Roman" w:hAnsi="Times New Roman"/>
                <w:bCs/>
                <w:sz w:val="26"/>
                <w:szCs w:val="26"/>
                <w:lang w:eastAsia="bg-BG"/>
              </w:rPr>
              <w:t xml:space="preserve">. Възложителят следва да има предвид, че изискванията към техническите характеристики на линейката и медицинското й оборудване </w:t>
            </w:r>
            <w:r w:rsidR="002C557B" w:rsidRPr="00D46F9A">
              <w:rPr>
                <w:rFonts w:ascii="Times New Roman" w:hAnsi="Times New Roman"/>
                <w:bCs/>
                <w:sz w:val="26"/>
                <w:szCs w:val="26"/>
                <w:highlight w:val="yellow"/>
                <w:lang w:eastAsia="bg-BG"/>
              </w:rPr>
              <w:t>не трябва да насочват и предопределят (самостоятелно или в комбинация) избора на определен специализиран автомобил/оборудване</w:t>
            </w:r>
            <w:r w:rsidR="002C557B" w:rsidRPr="002C557B">
              <w:rPr>
                <w:rFonts w:ascii="Times New Roman" w:hAnsi="Times New Roman"/>
                <w:bCs/>
                <w:sz w:val="26"/>
                <w:szCs w:val="26"/>
                <w:lang w:eastAsia="bg-BG"/>
              </w:rPr>
              <w:t xml:space="preserve"> (вж. чл. 49, ал. 1 ЗОП).</w:t>
            </w:r>
          </w:p>
          <w:p w14:paraId="6B3B9C72" w14:textId="029491DE" w:rsidR="00F728B2" w:rsidRPr="00F728B2" w:rsidRDefault="002C557B" w:rsidP="00F728B2">
            <w:pPr>
              <w:tabs>
                <w:tab w:val="left" w:pos="572"/>
              </w:tabs>
              <w:spacing w:before="60" w:after="0" w:line="240" w:lineRule="auto"/>
              <w:ind w:firstLine="567"/>
              <w:rPr>
                <w:rFonts w:ascii="Times New Roman" w:hAnsi="Times New Roman"/>
                <w:bCs/>
                <w:iCs/>
                <w:sz w:val="26"/>
                <w:szCs w:val="26"/>
                <w:lang w:eastAsia="bg-BG"/>
              </w:rPr>
            </w:pPr>
            <w:r w:rsidRPr="002C557B">
              <w:rPr>
                <w:rFonts w:ascii="Times New Roman" w:hAnsi="Times New Roman"/>
                <w:bCs/>
                <w:iCs/>
                <w:sz w:val="26"/>
                <w:szCs w:val="26"/>
                <w:lang w:eastAsia="bg-BG"/>
              </w:rPr>
              <w:t>Препоръчваме и да се прецени дали са изпълнени изискванията на чл. 48, ал. 5 ЗОП.</w:t>
            </w:r>
          </w:p>
        </w:tc>
      </w:tr>
    </w:tbl>
    <w:p w14:paraId="621D295B" w14:textId="77777777" w:rsidR="00BA4CF4" w:rsidRDefault="00BA4CF4"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22F6975E" w14:textId="77777777" w:rsidR="00BA4CF4" w:rsidRPr="00193C7A" w:rsidRDefault="00BA4CF4"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47DC0451" w14:textId="6E1717BA" w:rsidR="00B31B68" w:rsidRDefault="00DB5256" w:rsidP="00DB5256">
            <w:pPr>
              <w:spacing w:before="60" w:after="60" w:line="240" w:lineRule="auto"/>
              <w:ind w:firstLine="567"/>
              <w:rPr>
                <w:rFonts w:ascii="Times New Roman" w:hAnsi="Times New Roman"/>
                <w:sz w:val="26"/>
              </w:rPr>
            </w:pPr>
            <w:r>
              <w:rPr>
                <w:rFonts w:ascii="Times New Roman" w:hAnsi="Times New Roman"/>
                <w:sz w:val="26"/>
                <w:szCs w:val="26"/>
                <w:lang w:eastAsia="bg-BG"/>
              </w:rPr>
              <w:t xml:space="preserve">1. </w:t>
            </w:r>
            <w:r w:rsidR="00263E60" w:rsidRPr="00F11DC8">
              <w:rPr>
                <w:rFonts w:ascii="Times New Roman" w:hAnsi="Times New Roman"/>
                <w:sz w:val="26"/>
                <w:szCs w:val="26"/>
                <w:lang w:eastAsia="bg-BG"/>
              </w:rPr>
              <w:t xml:space="preserve">Становището касае съответствието на </w:t>
            </w:r>
            <w:r w:rsidRPr="00DB5256">
              <w:rPr>
                <w:rFonts w:ascii="Times New Roman" w:hAnsi="Times New Roman"/>
                <w:sz w:val="26"/>
                <w:szCs w:val="26"/>
                <w:lang w:eastAsia="bg-BG"/>
              </w:rPr>
              <w:t>представените в</w:t>
            </w:r>
            <w:r w:rsidRPr="00DB5256" w:rsidDel="00DB5256">
              <w:rPr>
                <w:rFonts w:ascii="Times New Roman" w:hAnsi="Times New Roman"/>
                <w:sz w:val="26"/>
                <w:szCs w:val="26"/>
                <w:lang w:eastAsia="bg-BG"/>
              </w:rPr>
              <w:t xml:space="preserve"> </w:t>
            </w:r>
            <w:r w:rsidR="00263E60" w:rsidRPr="00F11DC8">
              <w:rPr>
                <w:rFonts w:ascii="Times New Roman" w:hAnsi="Times New Roman"/>
                <w:sz w:val="26"/>
                <w:szCs w:val="26"/>
                <w:lang w:eastAsia="bg-BG"/>
              </w:rPr>
              <w:t xml:space="preserve">АОП </w:t>
            </w:r>
            <w:r>
              <w:rPr>
                <w:rFonts w:ascii="Times New Roman" w:hAnsi="Times New Roman"/>
                <w:sz w:val="26"/>
                <w:szCs w:val="26"/>
                <w:lang w:eastAsia="bg-BG"/>
              </w:rPr>
              <w:t xml:space="preserve">проекти на </w:t>
            </w:r>
            <w:r w:rsidR="00263E60" w:rsidRPr="00346241">
              <w:rPr>
                <w:rFonts w:ascii="Times New Roman" w:hAnsi="Times New Roman"/>
                <w:sz w:val="26"/>
                <w:szCs w:val="26"/>
                <w:lang w:eastAsia="bg-BG"/>
              </w:rPr>
              <w:t xml:space="preserve">документи с изискванията на ЗОП. Преценката за съответствие с други нормативни актове е извън правомощията на Агенцията </w:t>
            </w:r>
            <w:r w:rsidR="00263E60" w:rsidRPr="00346241">
              <w:rPr>
                <w:rFonts w:ascii="Times New Roman" w:hAnsi="Times New Roman"/>
                <w:sz w:val="26"/>
              </w:rPr>
              <w:t>и следва да се направи от възложителя.</w:t>
            </w:r>
          </w:p>
          <w:p w14:paraId="6F8DC725" w14:textId="77777777" w:rsidR="00DB5256" w:rsidRPr="00DB5256" w:rsidRDefault="00DB5256" w:rsidP="00DB5256">
            <w:pPr>
              <w:spacing w:before="60" w:after="60" w:line="240" w:lineRule="auto"/>
              <w:ind w:firstLine="567"/>
              <w:rPr>
                <w:rFonts w:ascii="Times New Roman" w:hAnsi="Times New Roman"/>
                <w:bCs/>
                <w:sz w:val="26"/>
              </w:rPr>
            </w:pPr>
            <w:r w:rsidRPr="00DB5256">
              <w:rPr>
                <w:rFonts w:ascii="Times New Roman" w:hAnsi="Times New Roman"/>
                <w:sz w:val="26"/>
              </w:rPr>
              <w:t xml:space="preserve">2. При осъществяване на първия етап на контрола е съобразен реда за възлагане на обществени поръчки до възникване на задължението за използване на централизираната електронна платформа по чл. 39а, ал. 1 ЗОП </w:t>
            </w:r>
            <w:r w:rsidRPr="00DB5256">
              <w:rPr>
                <w:rFonts w:ascii="Times New Roman" w:hAnsi="Times New Roman"/>
                <w:bCs/>
                <w:sz w:val="26"/>
              </w:rPr>
              <w:t>(вж.</w:t>
            </w:r>
            <w:r w:rsidRPr="00DB5256">
              <w:rPr>
                <w:rFonts w:ascii="Times New Roman" w:hAnsi="Times New Roman"/>
                <w:bCs/>
                <w:sz w:val="26"/>
                <w:lang w:val="en-US"/>
              </w:rPr>
              <w:t xml:space="preserve"> § 131, </w:t>
            </w:r>
            <w:proofErr w:type="spellStart"/>
            <w:r w:rsidRPr="00DB5256">
              <w:rPr>
                <w:rFonts w:ascii="Times New Roman" w:hAnsi="Times New Roman"/>
                <w:bCs/>
                <w:sz w:val="26"/>
                <w:lang w:val="en-US"/>
              </w:rPr>
              <w:t>ал</w:t>
            </w:r>
            <w:proofErr w:type="spellEnd"/>
            <w:r w:rsidRPr="00DB5256">
              <w:rPr>
                <w:rFonts w:ascii="Times New Roman" w:hAnsi="Times New Roman"/>
                <w:bCs/>
                <w:sz w:val="26"/>
                <w:lang w:val="en-US"/>
              </w:rPr>
              <w:t xml:space="preserve">. 3 </w:t>
            </w:r>
            <w:proofErr w:type="spellStart"/>
            <w:r w:rsidRPr="00DB5256">
              <w:rPr>
                <w:rFonts w:ascii="Times New Roman" w:hAnsi="Times New Roman"/>
                <w:bCs/>
                <w:sz w:val="26"/>
                <w:lang w:val="en-US"/>
              </w:rPr>
              <w:t>от</w:t>
            </w:r>
            <w:proofErr w:type="spellEnd"/>
            <w:r w:rsidRPr="00DB5256">
              <w:rPr>
                <w:rFonts w:ascii="Times New Roman" w:hAnsi="Times New Roman"/>
                <w:bCs/>
                <w:sz w:val="26"/>
                <w:lang w:val="en-US"/>
              </w:rPr>
              <w:t xml:space="preserve"> ПЗР </w:t>
            </w:r>
            <w:proofErr w:type="spellStart"/>
            <w:r w:rsidRPr="00DB5256">
              <w:rPr>
                <w:rFonts w:ascii="Times New Roman" w:hAnsi="Times New Roman"/>
                <w:bCs/>
                <w:sz w:val="26"/>
                <w:lang w:val="en-US"/>
              </w:rPr>
              <w:t>на</w:t>
            </w:r>
            <w:proofErr w:type="spellEnd"/>
            <w:r w:rsidRPr="00DB5256">
              <w:rPr>
                <w:rFonts w:ascii="Times New Roman" w:hAnsi="Times New Roman"/>
                <w:bCs/>
                <w:sz w:val="26"/>
                <w:lang w:val="en-US"/>
              </w:rPr>
              <w:t xml:space="preserve"> ЗИДЗОП</w:t>
            </w:r>
            <w:r w:rsidRPr="00DB5256">
              <w:rPr>
                <w:rFonts w:ascii="Times New Roman" w:hAnsi="Times New Roman"/>
                <w:bCs/>
                <w:sz w:val="26"/>
              </w:rPr>
              <w:t xml:space="preserve"> </w:t>
            </w:r>
            <w:r w:rsidRPr="00DB5256">
              <w:rPr>
                <w:rFonts w:ascii="Times New Roman" w:hAnsi="Times New Roman"/>
                <w:bCs/>
                <w:iCs/>
                <w:sz w:val="26"/>
              </w:rPr>
              <w:t xml:space="preserve">(обн. – ДВ, бр. 86 от 2018 г., изм. и доп. – ДВ, бр. 102 от 2019 г.), </w:t>
            </w:r>
            <w:r w:rsidRPr="00DB5256">
              <w:rPr>
                <w:rFonts w:ascii="Times New Roman" w:hAnsi="Times New Roman"/>
                <w:bCs/>
                <w:sz w:val="26"/>
              </w:rPr>
              <w:t xml:space="preserve">Методическо указание на АОП с рег. № МУ-1 от 06.01.2020 г. на електронен </w:t>
            </w:r>
            <w:r w:rsidRPr="00DB5256">
              <w:rPr>
                <w:rFonts w:ascii="Times New Roman" w:hAnsi="Times New Roman"/>
                <w:bCs/>
                <w:sz w:val="26"/>
              </w:rPr>
              <w:lastRenderedPageBreak/>
              <w:t xml:space="preserve">адрес </w:t>
            </w:r>
            <w:hyperlink r:id="rId8" w:history="1">
              <w:r w:rsidRPr="00DB5256">
                <w:rPr>
                  <w:rStyle w:val="Hyperlink"/>
                  <w:rFonts w:ascii="Times New Roman" w:hAnsi="Times New Roman"/>
                  <w:bCs/>
                  <w:sz w:val="26"/>
                </w:rPr>
                <w:t>https://www2.aop.bg/wp-content/uploads/2020/01/MU1_2020.pdf</w:t>
              </w:r>
            </w:hyperlink>
            <w:r w:rsidRPr="00DB5256">
              <w:rPr>
                <w:rFonts w:ascii="Times New Roman" w:hAnsi="Times New Roman"/>
                <w:bCs/>
                <w:sz w:val="26"/>
              </w:rPr>
              <w:t xml:space="preserve"> и Методическо указание на АОП с рег. № МУ-10 от 16.12.2019 г. на електронен адрес </w:t>
            </w:r>
            <w:hyperlink r:id="rId9" w:history="1">
              <w:r w:rsidRPr="00DB5256">
                <w:rPr>
                  <w:rStyle w:val="Hyperlink"/>
                  <w:rFonts w:ascii="Times New Roman" w:hAnsi="Times New Roman"/>
                  <w:bCs/>
                  <w:sz w:val="26"/>
                </w:rPr>
                <w:t>https://www2.aop.bg/wp-content/uploads/2019/12/MU10.pdf</w:t>
              </w:r>
            </w:hyperlink>
            <w:r w:rsidRPr="00DB5256">
              <w:rPr>
                <w:rFonts w:ascii="Times New Roman" w:hAnsi="Times New Roman"/>
                <w:bCs/>
                <w:sz w:val="26"/>
              </w:rPr>
              <w:t>).</w:t>
            </w:r>
          </w:p>
          <w:p w14:paraId="027FD580" w14:textId="2D1DBA79" w:rsidR="00DB5256" w:rsidRPr="00F11DC8" w:rsidRDefault="00DB5256" w:rsidP="00DB5256">
            <w:pPr>
              <w:spacing w:before="60" w:after="60" w:line="240" w:lineRule="auto"/>
              <w:ind w:firstLine="567"/>
              <w:rPr>
                <w:rFonts w:ascii="Times New Roman" w:hAnsi="Times New Roman"/>
                <w:sz w:val="26"/>
                <w:szCs w:val="26"/>
                <w:lang w:eastAsia="bg-BG"/>
              </w:rPr>
            </w:pPr>
            <w:r w:rsidRPr="00DB5256">
              <w:rPr>
                <w:rFonts w:ascii="Times New Roman" w:hAnsi="Times New Roman"/>
                <w:sz w:val="26"/>
              </w:rPr>
              <w:t>3. На Портала за о</w:t>
            </w:r>
            <w:bookmarkStart w:id="2" w:name="_GoBack"/>
            <w:bookmarkEnd w:id="2"/>
            <w:r w:rsidRPr="00DB5256">
              <w:rPr>
                <w:rFonts w:ascii="Times New Roman" w:hAnsi="Times New Roman"/>
                <w:sz w:val="26"/>
              </w:rPr>
              <w:t xml:space="preserve">бществени поръчки, в Тематична област – „Образци и списъци“, са публикувани одобрени </w:t>
            </w:r>
            <w:r w:rsidRPr="00D46F9A">
              <w:rPr>
                <w:rFonts w:ascii="Times New Roman" w:hAnsi="Times New Roman"/>
                <w:sz w:val="26"/>
                <w:highlight w:val="yellow"/>
              </w:rPr>
              <w:t>стандартизирани проекти на договори и стандартизирани клаузи на договори</w:t>
            </w:r>
            <w:r w:rsidRPr="00DB5256">
              <w:rPr>
                <w:rFonts w:ascii="Times New Roman" w:hAnsi="Times New Roman"/>
                <w:sz w:val="26"/>
              </w:rPr>
              <w:t>. Възложителят е длъжен да ги прилага, освен когато естеството на поръчката не позволява това (вж. чл. 231, ал. 4 и ал. 5 ЗОП). Неприлагането на стандартизираните изисквания и документите се мотивира писмено в досието на обществената поръчка.</w:t>
            </w:r>
          </w:p>
        </w:tc>
      </w:tr>
    </w:tbl>
    <w:p w14:paraId="67A33B14" w14:textId="77777777" w:rsid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16D068A6" w14:textId="59DDD1CC" w:rsidR="00F728B2" w:rsidRDefault="00F728B2" w:rsidP="00A37511">
      <w:pPr>
        <w:tabs>
          <w:tab w:val="left" w:pos="1440"/>
        </w:tabs>
        <w:spacing w:before="120" w:after="0" w:line="240" w:lineRule="auto"/>
        <w:ind w:firstLine="0"/>
        <w:jc w:val="left"/>
        <w:rPr>
          <w:rFonts w:ascii="Times New Roman" w:hAnsi="Times New Roman"/>
          <w:szCs w:val="24"/>
          <w:lang w:eastAsia="bg-BG"/>
        </w:rPr>
      </w:pPr>
    </w:p>
    <w:p w14:paraId="2DC66FE1" w14:textId="77777777" w:rsidR="00822424" w:rsidRDefault="00822424" w:rsidP="00A37511">
      <w:pPr>
        <w:tabs>
          <w:tab w:val="left" w:pos="1440"/>
        </w:tabs>
        <w:spacing w:before="120" w:after="0" w:line="240" w:lineRule="auto"/>
        <w:ind w:firstLine="0"/>
        <w:jc w:val="left"/>
        <w:rPr>
          <w:rFonts w:ascii="Times New Roman" w:hAnsi="Times New Roman"/>
          <w:szCs w:val="24"/>
          <w:lang w:eastAsia="bg-BG"/>
        </w:rPr>
      </w:pPr>
    </w:p>
    <w:p w14:paraId="12D03378" w14:textId="5A39BFAA" w:rsidR="00822424" w:rsidRPr="00B13D24" w:rsidRDefault="00822424" w:rsidP="00822424">
      <w:pPr>
        <w:ind w:firstLine="0"/>
        <w:rPr>
          <w:rFonts w:ascii="Times New Roman" w:hAnsi="Times New Roman"/>
          <w:szCs w:val="24"/>
          <w:lang w:val="ru-RU" w:eastAsia="bg-BG"/>
        </w:rPr>
      </w:pPr>
      <w:r>
        <w:rPr>
          <w:rFonts w:ascii="Times New Roman" w:hAnsi="Times New Roman"/>
          <w:szCs w:val="24"/>
          <w:lang w:eastAsia="bg-BG"/>
        </w:rPr>
        <w:t xml:space="preserve">                           </w:t>
      </w:r>
      <w:r w:rsidRPr="00B13D24">
        <w:rPr>
          <w:rFonts w:ascii="Times New Roman" w:hAnsi="Times New Roman"/>
          <w:b/>
          <w:sz w:val="26"/>
          <w:szCs w:val="26"/>
          <w:lang w:eastAsia="bg-BG"/>
        </w:rPr>
        <w:t>ИЗПЪЛНИТЕЛЕН ДИРЕКТОР: Подпис (не се чете)</w:t>
      </w:r>
    </w:p>
    <w:p w14:paraId="58533E29" w14:textId="7BEE84E2" w:rsidR="00822424" w:rsidRDefault="00822424" w:rsidP="00822424">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0C84943F" w14:textId="77777777" w:rsidR="00822424" w:rsidRPr="00B13D24" w:rsidRDefault="00822424" w:rsidP="00822424">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5537F733" w14:textId="77777777" w:rsidR="00822424" w:rsidRPr="00334D5A" w:rsidRDefault="00822424" w:rsidP="00822424">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447E5C1B" w14:textId="77777777" w:rsidR="00F728B2" w:rsidRPr="00A37511" w:rsidRDefault="00F728B2" w:rsidP="00A37511">
      <w:pPr>
        <w:tabs>
          <w:tab w:val="left" w:pos="1440"/>
        </w:tabs>
        <w:spacing w:before="120" w:after="0" w:line="240" w:lineRule="auto"/>
        <w:ind w:firstLine="0"/>
        <w:jc w:val="left"/>
        <w:rPr>
          <w:rFonts w:ascii="Times New Roman" w:hAnsi="Times New Roman"/>
          <w:szCs w:val="24"/>
          <w:lang w:eastAsia="bg-BG"/>
        </w:rPr>
      </w:pPr>
    </w:p>
    <w:p w14:paraId="7C1E67B9"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357E0EE8" w14:textId="77777777" w:rsidR="00A37511" w:rsidRPr="00A37511" w:rsidRDefault="00A37511" w:rsidP="00A37511">
      <w:pPr>
        <w:spacing w:after="0" w:line="240" w:lineRule="auto"/>
        <w:ind w:firstLine="0"/>
        <w:jc w:val="left"/>
        <w:rPr>
          <w:rFonts w:ascii="Times New Roman" w:hAnsi="Times New Roman"/>
          <w:szCs w:val="24"/>
        </w:rPr>
      </w:pPr>
    </w:p>
    <w:p w14:paraId="3844D485" w14:textId="77777777" w:rsidR="00A37511" w:rsidRPr="00A37511" w:rsidRDefault="00A37511" w:rsidP="00A37511">
      <w:pPr>
        <w:spacing w:after="0" w:line="240" w:lineRule="auto"/>
        <w:ind w:left="6300" w:firstLine="0"/>
        <w:rPr>
          <w:rFonts w:ascii="Times New Roman" w:hAnsi="Times New Roman"/>
          <w:b/>
          <w:sz w:val="26"/>
          <w:szCs w:val="26"/>
          <w:lang w:eastAsia="bg-BG"/>
        </w:rPr>
      </w:pPr>
    </w:p>
    <w:p w14:paraId="4399C410" w14:textId="77777777" w:rsidR="00A37511" w:rsidRPr="00A37511" w:rsidRDefault="00A37511" w:rsidP="00A37511">
      <w:pPr>
        <w:spacing w:after="0" w:line="240" w:lineRule="auto"/>
        <w:ind w:left="6300" w:firstLine="0"/>
        <w:rPr>
          <w:rFonts w:ascii="Times New Roman" w:hAnsi="Times New Roman"/>
          <w:b/>
          <w:sz w:val="26"/>
          <w:szCs w:val="26"/>
          <w:lang w:eastAsia="bg-BG"/>
        </w:rPr>
      </w:pPr>
    </w:p>
    <w:p w14:paraId="7D037A2B" w14:textId="77777777" w:rsidR="00A37511" w:rsidRPr="00A37511" w:rsidRDefault="00A37511" w:rsidP="00A37511">
      <w:pPr>
        <w:tabs>
          <w:tab w:val="left" w:pos="1440"/>
        </w:tabs>
        <w:spacing w:after="0" w:line="240" w:lineRule="auto"/>
        <w:ind w:firstLine="0"/>
        <w:rPr>
          <w:rFonts w:ascii="Times New Roman" w:hAnsi="Times New Roman"/>
          <w:szCs w:val="24"/>
          <w:lang w:eastAsia="bg-BG"/>
        </w:rPr>
      </w:pPr>
    </w:p>
    <w:p w14:paraId="0D158784" w14:textId="77777777" w:rsidR="00586905" w:rsidRPr="0024407D" w:rsidRDefault="00586905" w:rsidP="00586905">
      <w:pPr>
        <w:spacing w:after="0" w:line="240" w:lineRule="auto"/>
        <w:ind w:firstLine="0"/>
        <w:jc w:val="left"/>
        <w:rPr>
          <w:rFonts w:ascii="Times New Roman" w:hAnsi="Times New Roman"/>
          <w:szCs w:val="24"/>
          <w:lang w:eastAsia="bg-BG"/>
        </w:rPr>
      </w:pPr>
    </w:p>
    <w:p w14:paraId="3080A2AD" w14:textId="4B787812" w:rsidR="001A1190" w:rsidRPr="00550F41" w:rsidRDefault="001A1190" w:rsidP="00586905">
      <w:pPr>
        <w:tabs>
          <w:tab w:val="left" w:pos="1418"/>
        </w:tabs>
        <w:spacing w:after="0" w:line="240" w:lineRule="auto"/>
        <w:ind w:firstLine="0"/>
      </w:pPr>
    </w:p>
    <w:sectPr w:rsidR="001A1190" w:rsidRPr="00550F41" w:rsidSect="00A83601">
      <w:footerReference w:type="default" r:id="rId10"/>
      <w:headerReference w:type="first" r:id="rId11"/>
      <w:footerReference w:type="first" r:id="rId12"/>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0262" w14:textId="77777777" w:rsidR="002E6FE0" w:rsidRDefault="002E6FE0">
      <w:r>
        <w:separator/>
      </w:r>
    </w:p>
  </w:endnote>
  <w:endnote w:type="continuationSeparator" w:id="0">
    <w:p w14:paraId="708722FD" w14:textId="77777777" w:rsidR="002E6FE0" w:rsidRDefault="002E6FE0">
      <w:r>
        <w:continuationSeparator/>
      </w:r>
    </w:p>
  </w:endnote>
  <w:endnote w:type="continuationNotice" w:id="1">
    <w:p w14:paraId="04AB7EE0" w14:textId="77777777" w:rsidR="002E6FE0" w:rsidRDefault="002E6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4C4D" w14:textId="119970DB" w:rsidR="00F0776E" w:rsidRDefault="00F0776E">
    <w:pPr>
      <w:pStyle w:val="Footer"/>
      <w:jc w:val="right"/>
    </w:pPr>
    <w:r>
      <w:fldChar w:fldCharType="begin"/>
    </w:r>
    <w:r>
      <w:instrText xml:space="preserve"> PAGE   \* MERGEFORMAT </w:instrText>
    </w:r>
    <w:r>
      <w:fldChar w:fldCharType="separate"/>
    </w:r>
    <w:r w:rsidR="00587C42">
      <w:rPr>
        <w:noProof/>
      </w:rPr>
      <w:t>5</w:t>
    </w:r>
    <w:r>
      <w:rPr>
        <w:noProof/>
      </w:rPr>
      <w:fldChar w:fldCharType="end"/>
    </w:r>
  </w:p>
  <w:p w14:paraId="202D0AFA" w14:textId="77777777" w:rsidR="00F0776E" w:rsidRDefault="00F07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FDF3" w14:textId="77777777" w:rsidR="00F0776E" w:rsidRDefault="00F0776E">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F0776E" w:rsidRDefault="00F0776E">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F0776E" w:rsidRPr="00E7009E" w:rsidRDefault="00F0776E">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F0776E" w:rsidRDefault="00F0776E">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59B8" w14:textId="77777777" w:rsidR="002E6FE0" w:rsidRDefault="002E6FE0">
      <w:r>
        <w:separator/>
      </w:r>
    </w:p>
  </w:footnote>
  <w:footnote w:type="continuationSeparator" w:id="0">
    <w:p w14:paraId="249BB10B" w14:textId="77777777" w:rsidR="002E6FE0" w:rsidRDefault="002E6FE0">
      <w:r>
        <w:continuationSeparator/>
      </w:r>
    </w:p>
  </w:footnote>
  <w:footnote w:type="continuationNotice" w:id="1">
    <w:p w14:paraId="51256E3B" w14:textId="77777777" w:rsidR="002E6FE0" w:rsidRDefault="002E6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98E5" w14:textId="77777777" w:rsidR="00F0776E" w:rsidRDefault="00F0776E">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F0776E" w:rsidRPr="008121DC" w:rsidRDefault="00F0776E"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F0776E" w:rsidRPr="008121DC" w:rsidRDefault="00F0776E" w:rsidP="009B5F78">
                          <w:pPr>
                            <w:pStyle w:val="Heading1"/>
                            <w:tabs>
                              <w:tab w:val="center" w:pos="3705"/>
                            </w:tabs>
                            <w:rPr>
                              <w:rFonts w:ascii="Times New Roman" w:hAnsi="Times New Roman"/>
                              <w:sz w:val="28"/>
                              <w:lang w:val="ru-RU"/>
                            </w:rPr>
                          </w:pPr>
                        </w:p>
                        <w:p w14:paraId="0AE519D5" w14:textId="77777777" w:rsidR="00F0776E" w:rsidRPr="008121DC" w:rsidRDefault="00F0776E"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D621BD" w:rsidRPr="008121DC" w:rsidRDefault="00D621BD"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D621BD" w:rsidRPr="008121DC" w:rsidRDefault="00D621BD" w:rsidP="009B5F78">
                    <w:pPr>
                      <w:pStyle w:val="Heading1"/>
                      <w:tabs>
                        <w:tab w:val="center" w:pos="3705"/>
                      </w:tabs>
                      <w:rPr>
                        <w:rFonts w:ascii="Times New Roman" w:hAnsi="Times New Roman"/>
                        <w:sz w:val="28"/>
                        <w:lang w:val="ru-RU"/>
                      </w:rPr>
                    </w:pPr>
                  </w:p>
                  <w:p w14:paraId="0AE519D5" w14:textId="77777777" w:rsidR="00D621BD" w:rsidRPr="008121DC" w:rsidRDefault="00D621BD"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F0776E" w:rsidRDefault="00F0776E">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37A0B774" w:rsidR="00F0776E" w:rsidRPr="00CC765E" w:rsidRDefault="00F0776E"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lang w:val="en-US"/>
      </w:rPr>
      <w:t>5</w:t>
    </w:r>
  </w:p>
  <w:p w14:paraId="62562D47" w14:textId="36C3C4D7" w:rsidR="00F0776E" w:rsidRPr="00822424" w:rsidRDefault="00F0776E"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Дата</w:t>
    </w:r>
    <w:r w:rsidR="00822424">
      <w:rPr>
        <w:rFonts w:ascii="Times New Roman CYR" w:hAnsi="Times New Roman CYR"/>
        <w:color w:val="000000"/>
        <w:sz w:val="22"/>
        <w:lang w:val="en-US"/>
      </w:rPr>
      <w:t xml:space="preserve">: </w:t>
    </w:r>
    <w:r w:rsidR="00822424">
      <w:rPr>
        <w:rFonts w:ascii="Times New Roman CYR" w:hAnsi="Times New Roman CYR"/>
        <w:color w:val="000000"/>
        <w:sz w:val="22"/>
      </w:rPr>
      <w:t>20.01.2020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B0"/>
    <w:rsid w:val="00003FA7"/>
    <w:rsid w:val="000047D2"/>
    <w:rsid w:val="00004857"/>
    <w:rsid w:val="000069D8"/>
    <w:rsid w:val="000104F3"/>
    <w:rsid w:val="00014C2A"/>
    <w:rsid w:val="000164F8"/>
    <w:rsid w:val="00016A64"/>
    <w:rsid w:val="00020C07"/>
    <w:rsid w:val="00027991"/>
    <w:rsid w:val="00032DC0"/>
    <w:rsid w:val="00033D6E"/>
    <w:rsid w:val="00042603"/>
    <w:rsid w:val="00045ADB"/>
    <w:rsid w:val="00052312"/>
    <w:rsid w:val="00054917"/>
    <w:rsid w:val="0005538A"/>
    <w:rsid w:val="00055BA0"/>
    <w:rsid w:val="00060066"/>
    <w:rsid w:val="00060273"/>
    <w:rsid w:val="00060ACA"/>
    <w:rsid w:val="00061DB1"/>
    <w:rsid w:val="0006694B"/>
    <w:rsid w:val="00070E24"/>
    <w:rsid w:val="00072954"/>
    <w:rsid w:val="00077A3B"/>
    <w:rsid w:val="000903FA"/>
    <w:rsid w:val="0009206E"/>
    <w:rsid w:val="00095480"/>
    <w:rsid w:val="000A0B30"/>
    <w:rsid w:val="000A302E"/>
    <w:rsid w:val="000A3611"/>
    <w:rsid w:val="000A3EC0"/>
    <w:rsid w:val="000B02BD"/>
    <w:rsid w:val="000B09DC"/>
    <w:rsid w:val="000B278A"/>
    <w:rsid w:val="000B2F4A"/>
    <w:rsid w:val="000B4F3A"/>
    <w:rsid w:val="000B6C0F"/>
    <w:rsid w:val="000B74F3"/>
    <w:rsid w:val="000B7AA0"/>
    <w:rsid w:val="000B7ABF"/>
    <w:rsid w:val="000C0069"/>
    <w:rsid w:val="000C33F4"/>
    <w:rsid w:val="000C4354"/>
    <w:rsid w:val="000D1E4D"/>
    <w:rsid w:val="000D3C6B"/>
    <w:rsid w:val="000D43F1"/>
    <w:rsid w:val="000D44FC"/>
    <w:rsid w:val="000D5F2B"/>
    <w:rsid w:val="000D7590"/>
    <w:rsid w:val="000E0254"/>
    <w:rsid w:val="000E182D"/>
    <w:rsid w:val="000E1D2D"/>
    <w:rsid w:val="000E57A6"/>
    <w:rsid w:val="000E60D6"/>
    <w:rsid w:val="000E6148"/>
    <w:rsid w:val="000E675E"/>
    <w:rsid w:val="000E7326"/>
    <w:rsid w:val="001055E1"/>
    <w:rsid w:val="00113FA0"/>
    <w:rsid w:val="001141AE"/>
    <w:rsid w:val="0012613B"/>
    <w:rsid w:val="001263F9"/>
    <w:rsid w:val="00126567"/>
    <w:rsid w:val="00127C74"/>
    <w:rsid w:val="00132F2F"/>
    <w:rsid w:val="00136F3E"/>
    <w:rsid w:val="00142262"/>
    <w:rsid w:val="00142944"/>
    <w:rsid w:val="0014462E"/>
    <w:rsid w:val="001600CC"/>
    <w:rsid w:val="00160BE0"/>
    <w:rsid w:val="0016588F"/>
    <w:rsid w:val="0016609F"/>
    <w:rsid w:val="001760EA"/>
    <w:rsid w:val="00185EB7"/>
    <w:rsid w:val="00186793"/>
    <w:rsid w:val="00186854"/>
    <w:rsid w:val="00193C7A"/>
    <w:rsid w:val="00195990"/>
    <w:rsid w:val="00195E46"/>
    <w:rsid w:val="001A1190"/>
    <w:rsid w:val="001A4F8E"/>
    <w:rsid w:val="001B456F"/>
    <w:rsid w:val="001B73D5"/>
    <w:rsid w:val="001C0429"/>
    <w:rsid w:val="001C237A"/>
    <w:rsid w:val="001C3333"/>
    <w:rsid w:val="001C656D"/>
    <w:rsid w:val="001C6973"/>
    <w:rsid w:val="001D21EC"/>
    <w:rsid w:val="001E05F9"/>
    <w:rsid w:val="001E77B7"/>
    <w:rsid w:val="001F4AB4"/>
    <w:rsid w:val="00200856"/>
    <w:rsid w:val="00204EF2"/>
    <w:rsid w:val="002068A5"/>
    <w:rsid w:val="00211AE2"/>
    <w:rsid w:val="0021670D"/>
    <w:rsid w:val="0021767C"/>
    <w:rsid w:val="002213AD"/>
    <w:rsid w:val="00222D3B"/>
    <w:rsid w:val="002238B5"/>
    <w:rsid w:val="00224CA0"/>
    <w:rsid w:val="002258E2"/>
    <w:rsid w:val="002259C6"/>
    <w:rsid w:val="00227070"/>
    <w:rsid w:val="00246BF0"/>
    <w:rsid w:val="0025065C"/>
    <w:rsid w:val="00251258"/>
    <w:rsid w:val="00251D52"/>
    <w:rsid w:val="00251F99"/>
    <w:rsid w:val="002527F5"/>
    <w:rsid w:val="00252A32"/>
    <w:rsid w:val="0025670E"/>
    <w:rsid w:val="002604A9"/>
    <w:rsid w:val="00260694"/>
    <w:rsid w:val="00263E60"/>
    <w:rsid w:val="0026662D"/>
    <w:rsid w:val="00267A83"/>
    <w:rsid w:val="00267E99"/>
    <w:rsid w:val="00270D8B"/>
    <w:rsid w:val="00272003"/>
    <w:rsid w:val="0027577A"/>
    <w:rsid w:val="00283EF1"/>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C557B"/>
    <w:rsid w:val="002C7BE1"/>
    <w:rsid w:val="002D29F6"/>
    <w:rsid w:val="002D5B3E"/>
    <w:rsid w:val="002D68AD"/>
    <w:rsid w:val="002D6EAA"/>
    <w:rsid w:val="002D7497"/>
    <w:rsid w:val="002E3D6E"/>
    <w:rsid w:val="002E5B48"/>
    <w:rsid w:val="002E6FE0"/>
    <w:rsid w:val="002E7167"/>
    <w:rsid w:val="002F10AD"/>
    <w:rsid w:val="002F1645"/>
    <w:rsid w:val="002F1B82"/>
    <w:rsid w:val="002F4182"/>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EAC"/>
    <w:rsid w:val="00384FB5"/>
    <w:rsid w:val="003865D2"/>
    <w:rsid w:val="003878CA"/>
    <w:rsid w:val="0039398F"/>
    <w:rsid w:val="00393C03"/>
    <w:rsid w:val="003943F1"/>
    <w:rsid w:val="00394DF9"/>
    <w:rsid w:val="00395203"/>
    <w:rsid w:val="00396C99"/>
    <w:rsid w:val="003A0C63"/>
    <w:rsid w:val="003A21FE"/>
    <w:rsid w:val="003A4B5A"/>
    <w:rsid w:val="003A7F6B"/>
    <w:rsid w:val="003B5C5B"/>
    <w:rsid w:val="003B6425"/>
    <w:rsid w:val="003B6FF0"/>
    <w:rsid w:val="003B75C4"/>
    <w:rsid w:val="003C315F"/>
    <w:rsid w:val="003C43F1"/>
    <w:rsid w:val="003D3DE4"/>
    <w:rsid w:val="003D4961"/>
    <w:rsid w:val="003D680F"/>
    <w:rsid w:val="003F2838"/>
    <w:rsid w:val="003F7647"/>
    <w:rsid w:val="003F774E"/>
    <w:rsid w:val="00413299"/>
    <w:rsid w:val="004146B7"/>
    <w:rsid w:val="00415B7D"/>
    <w:rsid w:val="00415FFB"/>
    <w:rsid w:val="00416709"/>
    <w:rsid w:val="0042555B"/>
    <w:rsid w:val="00430180"/>
    <w:rsid w:val="00430E98"/>
    <w:rsid w:val="004313BE"/>
    <w:rsid w:val="00436550"/>
    <w:rsid w:val="0044009B"/>
    <w:rsid w:val="00442FEC"/>
    <w:rsid w:val="00450B1F"/>
    <w:rsid w:val="004526E9"/>
    <w:rsid w:val="00457037"/>
    <w:rsid w:val="00457FC5"/>
    <w:rsid w:val="0046139A"/>
    <w:rsid w:val="004639EB"/>
    <w:rsid w:val="004641AD"/>
    <w:rsid w:val="00467C33"/>
    <w:rsid w:val="00473971"/>
    <w:rsid w:val="00473EF5"/>
    <w:rsid w:val="00474328"/>
    <w:rsid w:val="0047717A"/>
    <w:rsid w:val="00482F0B"/>
    <w:rsid w:val="00484944"/>
    <w:rsid w:val="00485DC6"/>
    <w:rsid w:val="004866C3"/>
    <w:rsid w:val="004935AF"/>
    <w:rsid w:val="0049389F"/>
    <w:rsid w:val="00494516"/>
    <w:rsid w:val="00496D17"/>
    <w:rsid w:val="004A4D51"/>
    <w:rsid w:val="004A668C"/>
    <w:rsid w:val="004B032C"/>
    <w:rsid w:val="004B1846"/>
    <w:rsid w:val="004B212B"/>
    <w:rsid w:val="004B23E5"/>
    <w:rsid w:val="004B3BD5"/>
    <w:rsid w:val="004B7C5B"/>
    <w:rsid w:val="004C1433"/>
    <w:rsid w:val="004C2756"/>
    <w:rsid w:val="004D0A94"/>
    <w:rsid w:val="004D1ADC"/>
    <w:rsid w:val="004D3BF5"/>
    <w:rsid w:val="004D7355"/>
    <w:rsid w:val="004E0996"/>
    <w:rsid w:val="004E17D6"/>
    <w:rsid w:val="004E2F14"/>
    <w:rsid w:val="004E3E43"/>
    <w:rsid w:val="004E75AA"/>
    <w:rsid w:val="004E7713"/>
    <w:rsid w:val="004F27AB"/>
    <w:rsid w:val="005109A5"/>
    <w:rsid w:val="00512A24"/>
    <w:rsid w:val="00514D8C"/>
    <w:rsid w:val="005169B0"/>
    <w:rsid w:val="005266BA"/>
    <w:rsid w:val="00526E9F"/>
    <w:rsid w:val="00530CF2"/>
    <w:rsid w:val="00530EB1"/>
    <w:rsid w:val="005338F9"/>
    <w:rsid w:val="005356E3"/>
    <w:rsid w:val="00537411"/>
    <w:rsid w:val="0054572D"/>
    <w:rsid w:val="005460BC"/>
    <w:rsid w:val="00550F41"/>
    <w:rsid w:val="00551289"/>
    <w:rsid w:val="005522AF"/>
    <w:rsid w:val="00556416"/>
    <w:rsid w:val="00556F72"/>
    <w:rsid w:val="005655D8"/>
    <w:rsid w:val="00565606"/>
    <w:rsid w:val="00565AFA"/>
    <w:rsid w:val="005672D4"/>
    <w:rsid w:val="005728A5"/>
    <w:rsid w:val="0057351B"/>
    <w:rsid w:val="00573B24"/>
    <w:rsid w:val="0057618B"/>
    <w:rsid w:val="005766BD"/>
    <w:rsid w:val="005766D1"/>
    <w:rsid w:val="00582C6D"/>
    <w:rsid w:val="00584750"/>
    <w:rsid w:val="00586905"/>
    <w:rsid w:val="00587C42"/>
    <w:rsid w:val="005A2E22"/>
    <w:rsid w:val="005A3C67"/>
    <w:rsid w:val="005A48BA"/>
    <w:rsid w:val="005B06A2"/>
    <w:rsid w:val="005B0AAA"/>
    <w:rsid w:val="005B18BB"/>
    <w:rsid w:val="005B1ACF"/>
    <w:rsid w:val="005B53FF"/>
    <w:rsid w:val="005B7ACF"/>
    <w:rsid w:val="005C37E1"/>
    <w:rsid w:val="005C38AE"/>
    <w:rsid w:val="005C39B9"/>
    <w:rsid w:val="005C5D33"/>
    <w:rsid w:val="005C66E3"/>
    <w:rsid w:val="005D2E36"/>
    <w:rsid w:val="005D3F59"/>
    <w:rsid w:val="005D66A2"/>
    <w:rsid w:val="005D6824"/>
    <w:rsid w:val="005E058B"/>
    <w:rsid w:val="005E169B"/>
    <w:rsid w:val="005E3724"/>
    <w:rsid w:val="005F4714"/>
    <w:rsid w:val="005F5C80"/>
    <w:rsid w:val="005F61DA"/>
    <w:rsid w:val="005F6861"/>
    <w:rsid w:val="00600C6E"/>
    <w:rsid w:val="00600DDE"/>
    <w:rsid w:val="00602EE2"/>
    <w:rsid w:val="00603037"/>
    <w:rsid w:val="00605446"/>
    <w:rsid w:val="00606C80"/>
    <w:rsid w:val="00610101"/>
    <w:rsid w:val="00612E60"/>
    <w:rsid w:val="00614226"/>
    <w:rsid w:val="00616BEA"/>
    <w:rsid w:val="00620951"/>
    <w:rsid w:val="006222D0"/>
    <w:rsid w:val="006271E4"/>
    <w:rsid w:val="006273FB"/>
    <w:rsid w:val="00630F35"/>
    <w:rsid w:val="00643BED"/>
    <w:rsid w:val="00643CB6"/>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0D"/>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7F73"/>
    <w:rsid w:val="006E06B9"/>
    <w:rsid w:val="006E110A"/>
    <w:rsid w:val="006E1CFA"/>
    <w:rsid w:val="006E2472"/>
    <w:rsid w:val="006E374E"/>
    <w:rsid w:val="006E38DF"/>
    <w:rsid w:val="006E48DF"/>
    <w:rsid w:val="006F1669"/>
    <w:rsid w:val="006F2EBF"/>
    <w:rsid w:val="006F49FD"/>
    <w:rsid w:val="006F66FE"/>
    <w:rsid w:val="006F7A06"/>
    <w:rsid w:val="00702443"/>
    <w:rsid w:val="007029DD"/>
    <w:rsid w:val="00703442"/>
    <w:rsid w:val="0070428A"/>
    <w:rsid w:val="0070604D"/>
    <w:rsid w:val="00707EB5"/>
    <w:rsid w:val="0071415A"/>
    <w:rsid w:val="00714677"/>
    <w:rsid w:val="007155ED"/>
    <w:rsid w:val="00717957"/>
    <w:rsid w:val="0072085B"/>
    <w:rsid w:val="0072159D"/>
    <w:rsid w:val="0072266F"/>
    <w:rsid w:val="00737908"/>
    <w:rsid w:val="00737BBA"/>
    <w:rsid w:val="007459DD"/>
    <w:rsid w:val="007471A9"/>
    <w:rsid w:val="0075162F"/>
    <w:rsid w:val="00761BE9"/>
    <w:rsid w:val="0077089C"/>
    <w:rsid w:val="007709B6"/>
    <w:rsid w:val="007731B8"/>
    <w:rsid w:val="0077499B"/>
    <w:rsid w:val="007757B7"/>
    <w:rsid w:val="0077580F"/>
    <w:rsid w:val="00777492"/>
    <w:rsid w:val="007815B0"/>
    <w:rsid w:val="00791458"/>
    <w:rsid w:val="007A0F50"/>
    <w:rsid w:val="007A358A"/>
    <w:rsid w:val="007A5E11"/>
    <w:rsid w:val="007B0C6D"/>
    <w:rsid w:val="007B3400"/>
    <w:rsid w:val="007B485B"/>
    <w:rsid w:val="007D0186"/>
    <w:rsid w:val="007D1072"/>
    <w:rsid w:val="007D18D4"/>
    <w:rsid w:val="007D1BDB"/>
    <w:rsid w:val="007D33AF"/>
    <w:rsid w:val="007D3E1C"/>
    <w:rsid w:val="007D424E"/>
    <w:rsid w:val="007D7212"/>
    <w:rsid w:val="007D7443"/>
    <w:rsid w:val="007E2592"/>
    <w:rsid w:val="007E386E"/>
    <w:rsid w:val="007E77CC"/>
    <w:rsid w:val="007F1281"/>
    <w:rsid w:val="007F41AC"/>
    <w:rsid w:val="00800DD0"/>
    <w:rsid w:val="00801FB5"/>
    <w:rsid w:val="00804B1F"/>
    <w:rsid w:val="00806F68"/>
    <w:rsid w:val="00811413"/>
    <w:rsid w:val="008121DC"/>
    <w:rsid w:val="00820A5E"/>
    <w:rsid w:val="00822424"/>
    <w:rsid w:val="00827B5D"/>
    <w:rsid w:val="008319CD"/>
    <w:rsid w:val="008400EC"/>
    <w:rsid w:val="00846226"/>
    <w:rsid w:val="00856ECC"/>
    <w:rsid w:val="008638A2"/>
    <w:rsid w:val="00871030"/>
    <w:rsid w:val="00875466"/>
    <w:rsid w:val="008832E8"/>
    <w:rsid w:val="0089315F"/>
    <w:rsid w:val="00893DB5"/>
    <w:rsid w:val="008A3C0D"/>
    <w:rsid w:val="008B0678"/>
    <w:rsid w:val="008B5F15"/>
    <w:rsid w:val="008B6461"/>
    <w:rsid w:val="008B6998"/>
    <w:rsid w:val="008C5D4C"/>
    <w:rsid w:val="008D47DB"/>
    <w:rsid w:val="008D6BF6"/>
    <w:rsid w:val="008E0DFE"/>
    <w:rsid w:val="008E366D"/>
    <w:rsid w:val="008E6994"/>
    <w:rsid w:val="008F00A1"/>
    <w:rsid w:val="00901B42"/>
    <w:rsid w:val="00907DD8"/>
    <w:rsid w:val="009206B1"/>
    <w:rsid w:val="009352B5"/>
    <w:rsid w:val="00937776"/>
    <w:rsid w:val="00940664"/>
    <w:rsid w:val="00941378"/>
    <w:rsid w:val="00941961"/>
    <w:rsid w:val="00941C53"/>
    <w:rsid w:val="009449DE"/>
    <w:rsid w:val="009547B3"/>
    <w:rsid w:val="00955888"/>
    <w:rsid w:val="00962CEE"/>
    <w:rsid w:val="00964B92"/>
    <w:rsid w:val="0096791D"/>
    <w:rsid w:val="00971D0B"/>
    <w:rsid w:val="0097541D"/>
    <w:rsid w:val="009765C7"/>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9F1EE0"/>
    <w:rsid w:val="00A00BD8"/>
    <w:rsid w:val="00A0364E"/>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55C7B"/>
    <w:rsid w:val="00A56B5D"/>
    <w:rsid w:val="00A60A5A"/>
    <w:rsid w:val="00A61157"/>
    <w:rsid w:val="00A64700"/>
    <w:rsid w:val="00A67CB5"/>
    <w:rsid w:val="00A7226A"/>
    <w:rsid w:val="00A73EBB"/>
    <w:rsid w:val="00A8286B"/>
    <w:rsid w:val="00A83601"/>
    <w:rsid w:val="00A854F5"/>
    <w:rsid w:val="00A90887"/>
    <w:rsid w:val="00A909EB"/>
    <w:rsid w:val="00A9468D"/>
    <w:rsid w:val="00A96CA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59A1"/>
    <w:rsid w:val="00AF6428"/>
    <w:rsid w:val="00B01983"/>
    <w:rsid w:val="00B04866"/>
    <w:rsid w:val="00B07AD8"/>
    <w:rsid w:val="00B11111"/>
    <w:rsid w:val="00B11F8B"/>
    <w:rsid w:val="00B15F0C"/>
    <w:rsid w:val="00B20A52"/>
    <w:rsid w:val="00B21FB2"/>
    <w:rsid w:val="00B256B9"/>
    <w:rsid w:val="00B31B68"/>
    <w:rsid w:val="00B517CE"/>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34F3"/>
    <w:rsid w:val="00B97F25"/>
    <w:rsid w:val="00BA4CF4"/>
    <w:rsid w:val="00BA6578"/>
    <w:rsid w:val="00BA7893"/>
    <w:rsid w:val="00BB0A34"/>
    <w:rsid w:val="00BB0BA9"/>
    <w:rsid w:val="00BB22D0"/>
    <w:rsid w:val="00BB32E3"/>
    <w:rsid w:val="00BB7FD0"/>
    <w:rsid w:val="00BC7054"/>
    <w:rsid w:val="00BD1468"/>
    <w:rsid w:val="00BD4531"/>
    <w:rsid w:val="00BD6238"/>
    <w:rsid w:val="00BF105F"/>
    <w:rsid w:val="00BF7DF1"/>
    <w:rsid w:val="00C0071D"/>
    <w:rsid w:val="00C014F8"/>
    <w:rsid w:val="00C03522"/>
    <w:rsid w:val="00C04B9C"/>
    <w:rsid w:val="00C079D8"/>
    <w:rsid w:val="00C1049F"/>
    <w:rsid w:val="00C20186"/>
    <w:rsid w:val="00C21AAF"/>
    <w:rsid w:val="00C21EBC"/>
    <w:rsid w:val="00C2347F"/>
    <w:rsid w:val="00C25071"/>
    <w:rsid w:val="00C32123"/>
    <w:rsid w:val="00C327CF"/>
    <w:rsid w:val="00C332D7"/>
    <w:rsid w:val="00C4618D"/>
    <w:rsid w:val="00C46834"/>
    <w:rsid w:val="00C471A0"/>
    <w:rsid w:val="00C5344E"/>
    <w:rsid w:val="00C53F1B"/>
    <w:rsid w:val="00C559C9"/>
    <w:rsid w:val="00C56C5F"/>
    <w:rsid w:val="00C64FAC"/>
    <w:rsid w:val="00C66C4D"/>
    <w:rsid w:val="00C67791"/>
    <w:rsid w:val="00C7189D"/>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C765E"/>
    <w:rsid w:val="00CD4B34"/>
    <w:rsid w:val="00CD4B43"/>
    <w:rsid w:val="00CD4EBC"/>
    <w:rsid w:val="00CD7563"/>
    <w:rsid w:val="00CE1167"/>
    <w:rsid w:val="00CE7D18"/>
    <w:rsid w:val="00CF259E"/>
    <w:rsid w:val="00CF25B5"/>
    <w:rsid w:val="00CF6141"/>
    <w:rsid w:val="00D14C2D"/>
    <w:rsid w:val="00D1570B"/>
    <w:rsid w:val="00D16AD1"/>
    <w:rsid w:val="00D174D8"/>
    <w:rsid w:val="00D21D48"/>
    <w:rsid w:val="00D23B11"/>
    <w:rsid w:val="00D27394"/>
    <w:rsid w:val="00D354A3"/>
    <w:rsid w:val="00D35AB3"/>
    <w:rsid w:val="00D372D6"/>
    <w:rsid w:val="00D418B1"/>
    <w:rsid w:val="00D46F9A"/>
    <w:rsid w:val="00D50C34"/>
    <w:rsid w:val="00D55592"/>
    <w:rsid w:val="00D6158B"/>
    <w:rsid w:val="00D621BD"/>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22D"/>
    <w:rsid w:val="00DB1972"/>
    <w:rsid w:val="00DB30AF"/>
    <w:rsid w:val="00DB5256"/>
    <w:rsid w:val="00DC468C"/>
    <w:rsid w:val="00DC56D3"/>
    <w:rsid w:val="00DC783C"/>
    <w:rsid w:val="00DC790B"/>
    <w:rsid w:val="00DE03E6"/>
    <w:rsid w:val="00DE4008"/>
    <w:rsid w:val="00DE6755"/>
    <w:rsid w:val="00DE7881"/>
    <w:rsid w:val="00DF742F"/>
    <w:rsid w:val="00DF7BB5"/>
    <w:rsid w:val="00E0021A"/>
    <w:rsid w:val="00E01C5C"/>
    <w:rsid w:val="00E02E85"/>
    <w:rsid w:val="00E046EE"/>
    <w:rsid w:val="00E04D1E"/>
    <w:rsid w:val="00E065F4"/>
    <w:rsid w:val="00E13C5D"/>
    <w:rsid w:val="00E16014"/>
    <w:rsid w:val="00E22453"/>
    <w:rsid w:val="00E23ACA"/>
    <w:rsid w:val="00E328E5"/>
    <w:rsid w:val="00E35864"/>
    <w:rsid w:val="00E53726"/>
    <w:rsid w:val="00E54388"/>
    <w:rsid w:val="00E554FF"/>
    <w:rsid w:val="00E56F8D"/>
    <w:rsid w:val="00E576E8"/>
    <w:rsid w:val="00E5770E"/>
    <w:rsid w:val="00E61CB4"/>
    <w:rsid w:val="00E7009E"/>
    <w:rsid w:val="00E7391B"/>
    <w:rsid w:val="00E7730C"/>
    <w:rsid w:val="00E81969"/>
    <w:rsid w:val="00E82EC7"/>
    <w:rsid w:val="00E84A47"/>
    <w:rsid w:val="00E85D02"/>
    <w:rsid w:val="00E93E38"/>
    <w:rsid w:val="00E94877"/>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6A4F"/>
    <w:rsid w:val="00EE7213"/>
    <w:rsid w:val="00EF332C"/>
    <w:rsid w:val="00EF43E6"/>
    <w:rsid w:val="00EF47A0"/>
    <w:rsid w:val="00EF7E73"/>
    <w:rsid w:val="00F037E0"/>
    <w:rsid w:val="00F046AC"/>
    <w:rsid w:val="00F06F64"/>
    <w:rsid w:val="00F0776E"/>
    <w:rsid w:val="00F10CD5"/>
    <w:rsid w:val="00F111AD"/>
    <w:rsid w:val="00F11DC8"/>
    <w:rsid w:val="00F13E4C"/>
    <w:rsid w:val="00F146B2"/>
    <w:rsid w:val="00F15303"/>
    <w:rsid w:val="00F17D01"/>
    <w:rsid w:val="00F17E33"/>
    <w:rsid w:val="00F21A06"/>
    <w:rsid w:val="00F26021"/>
    <w:rsid w:val="00F2669F"/>
    <w:rsid w:val="00F267DF"/>
    <w:rsid w:val="00F312A1"/>
    <w:rsid w:val="00F312AE"/>
    <w:rsid w:val="00F32858"/>
    <w:rsid w:val="00F418A4"/>
    <w:rsid w:val="00F4220A"/>
    <w:rsid w:val="00F42A42"/>
    <w:rsid w:val="00F47550"/>
    <w:rsid w:val="00F50390"/>
    <w:rsid w:val="00F52568"/>
    <w:rsid w:val="00F52705"/>
    <w:rsid w:val="00F52AA5"/>
    <w:rsid w:val="00F60643"/>
    <w:rsid w:val="00F60D89"/>
    <w:rsid w:val="00F60EE1"/>
    <w:rsid w:val="00F627F9"/>
    <w:rsid w:val="00F728B2"/>
    <w:rsid w:val="00F8096A"/>
    <w:rsid w:val="00F8130E"/>
    <w:rsid w:val="00F81672"/>
    <w:rsid w:val="00F82FFB"/>
    <w:rsid w:val="00F83C97"/>
    <w:rsid w:val="00F86269"/>
    <w:rsid w:val="00F90E13"/>
    <w:rsid w:val="00F93637"/>
    <w:rsid w:val="00F94FF8"/>
    <w:rsid w:val="00F96542"/>
    <w:rsid w:val="00FA67DB"/>
    <w:rsid w:val="00FB0673"/>
    <w:rsid w:val="00FB4FA6"/>
    <w:rsid w:val="00FB6D05"/>
    <w:rsid w:val="00FC46AF"/>
    <w:rsid w:val="00FC56E6"/>
    <w:rsid w:val="00FD3A14"/>
    <w:rsid w:val="00FD4FCB"/>
    <w:rsid w:val="00FD66C7"/>
    <w:rsid w:val="00FE32A6"/>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op.bg/wp-content/uploads/2020/01/MU1_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aop.bg/wp-content/uploads/2019/12/MU1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1E4A-08D2-4E61-BFAE-E7FEC702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galina gancheva</cp:lastModifiedBy>
  <cp:revision>11</cp:revision>
  <cp:lastPrinted>2020-01-20T12:01:00Z</cp:lastPrinted>
  <dcterms:created xsi:type="dcterms:W3CDTF">2020-01-20T11:45:00Z</dcterms:created>
  <dcterms:modified xsi:type="dcterms:W3CDTF">2020-01-20T21:02:00Z</dcterms:modified>
</cp:coreProperties>
</file>